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A4A" w:rsidRPr="008476BE" w:rsidRDefault="00A11A4A" w:rsidP="00A11A4A">
      <w:pPr>
        <w:pStyle w:val="Sinespaciado"/>
        <w:rPr>
          <w:rFonts w:asciiTheme="majorHAnsi" w:eastAsiaTheme="majorEastAsia" w:hAnsiTheme="majorHAnsi" w:cstheme="majorBidi"/>
          <w:b/>
          <w:color w:val="262626" w:themeColor="text1" w:themeTint="D9"/>
          <w:sz w:val="72"/>
        </w:rPr>
      </w:pPr>
      <w:bookmarkStart w:id="0" w:name="_GoBack"/>
      <w:bookmarkEnd w:id="0"/>
      <w:r w:rsidRPr="00763372">
        <w:rPr>
          <w:rFonts w:ascii="Arial" w:hAnsi="Arial" w:cs="Arial"/>
          <w:noProof/>
        </w:rPr>
        <mc:AlternateContent>
          <mc:Choice Requires="wps">
            <w:drawing>
              <wp:anchor distT="0" distB="0" distL="114300" distR="114300" simplePos="0" relativeHeight="251668480" behindDoc="0" locked="0" layoutInCell="1" allowOverlap="1" wp14:anchorId="58F577F4" wp14:editId="5C07BA02">
                <wp:simplePos x="0" y="0"/>
                <wp:positionH relativeFrom="page">
                  <wp:posOffset>2045335</wp:posOffset>
                </wp:positionH>
                <wp:positionV relativeFrom="page">
                  <wp:posOffset>902970</wp:posOffset>
                </wp:positionV>
                <wp:extent cx="3657600" cy="1069848"/>
                <wp:effectExtent l="0" t="0" r="7620" b="635"/>
                <wp:wrapNone/>
                <wp:docPr id="5" name="Cuadro de texto 5"/>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1A4A" w:rsidRPr="008476BE" w:rsidRDefault="00777CB5" w:rsidP="00A11A4A">
                            <w:pPr>
                              <w:pStyle w:val="Sinespaciado"/>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1237909934"/>
                                <w:showingPlcHdr/>
                                <w:dataBinding w:prefixMappings="xmlns:ns0='http://purl.org/dc/elements/1.1/' xmlns:ns1='http://schemas.openxmlformats.org/package/2006/metadata/core-properties' " w:xpath="/ns1:coreProperties[1]/ns0:title[1]" w:storeItemID="{6C3C8BC8-F283-45AE-878A-BAB7291924A1}"/>
                                <w:text/>
                              </w:sdtPr>
                              <w:sdtEndPr/>
                              <w:sdtContent>
                                <w:r w:rsidR="00A11A4A">
                                  <w:rPr>
                                    <w:rFonts w:asciiTheme="majorHAnsi" w:eastAsiaTheme="majorEastAsia" w:hAnsiTheme="majorHAnsi" w:cstheme="majorBidi"/>
                                    <w:b/>
                                    <w:color w:val="262626" w:themeColor="text1" w:themeTint="D9"/>
                                    <w:sz w:val="72"/>
                                    <w:szCs w:val="72"/>
                                  </w:rPr>
                                  <w:t xml:space="preserve">     </w:t>
                                </w:r>
                              </w:sdtContent>
                            </w:sdt>
                          </w:p>
                          <w:p w:rsidR="00A11A4A" w:rsidRDefault="00777CB5" w:rsidP="00A11A4A">
                            <w:pPr>
                              <w:spacing w:before="120"/>
                              <w:jc w:val="center"/>
                              <w:rPr>
                                <w:color w:val="404040" w:themeColor="text1" w:themeTint="BF"/>
                                <w:sz w:val="36"/>
                                <w:szCs w:val="36"/>
                              </w:rPr>
                            </w:pPr>
                            <w:sdt>
                              <w:sdtPr>
                                <w:rPr>
                                  <w:rFonts w:asciiTheme="majorHAnsi" w:eastAsiaTheme="majorEastAsia" w:hAnsiTheme="majorHAnsi" w:cstheme="majorBidi"/>
                                  <w:b/>
                                  <w:color w:val="262626" w:themeColor="text1" w:themeTint="D9"/>
                                  <w:sz w:val="72"/>
                                  <w:szCs w:val="72"/>
                                </w:rPr>
                                <w:alias w:val="Subtítulo"/>
                                <w:tag w:val=""/>
                                <w:id w:val="-1268612899"/>
                                <w:showingPlcHdr/>
                                <w:dataBinding w:prefixMappings="xmlns:ns0='http://purl.org/dc/elements/1.1/' xmlns:ns1='http://schemas.openxmlformats.org/package/2006/metadata/core-properties' " w:xpath="/ns1:coreProperties[1]/ns0:subject[1]" w:storeItemID="{6C3C8BC8-F283-45AE-878A-BAB7291924A1}"/>
                                <w:text/>
                              </w:sdtPr>
                              <w:sdtEndPr/>
                              <w:sdtContent>
                                <w:r w:rsidR="00A11A4A">
                                  <w:rPr>
                                    <w:rFonts w:asciiTheme="majorHAnsi" w:eastAsiaTheme="majorEastAsia" w:hAnsiTheme="majorHAnsi" w:cstheme="majorBidi"/>
                                    <w:b/>
                                    <w:color w:val="262626" w:themeColor="text1" w:themeTint="D9"/>
                                    <w:sz w:val="72"/>
                                    <w:szCs w:val="72"/>
                                  </w:rPr>
                                  <w:t xml:space="preserve">     </w:t>
                                </w:r>
                              </w:sdtContent>
                            </w:sdt>
                            <w:r w:rsidR="00A11A4A">
                              <w:rPr>
                                <w:rFonts w:asciiTheme="majorHAnsi" w:eastAsiaTheme="majorEastAsia" w:hAnsiTheme="majorHAnsi" w:cstheme="majorBidi"/>
                                <w:b/>
                                <w:color w:val="262626" w:themeColor="text1" w:themeTint="D9"/>
                                <w:sz w:val="72"/>
                                <w:szCs w:val="72"/>
                              </w:rPr>
                              <w:t>DIAGNÓSTICO     TESORERÍA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8F577F4" id="_x0000_t202" coordsize="21600,21600" o:spt="202" path="m,l,21600r21600,l21600,xe">
                <v:stroke joinstyle="miter"/>
                <v:path gradientshapeok="t" o:connecttype="rect"/>
              </v:shapetype>
              <v:shape id="Cuadro de texto 5" o:spid="_x0000_s1026" type="#_x0000_t202" style="position:absolute;margin-left:161.05pt;margin-top:71.1pt;width:4in;height:84.25pt;z-index:251668480;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" filled="f" stroked="f" strokeweight=".5pt">
                <v:textbox style="mso-fit-shape-to-text:t" inset="0,0,0,0">
                  <w:txbxContent>
                    <w:p w:rsidR="00A11A4A" w:rsidRPr="008476BE" w:rsidRDefault="00777CB5" w:rsidP="00A11A4A">
                      <w:pPr>
                        <w:pStyle w:val="Sinespaciado"/>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1237909934"/>
                          <w:showingPlcHdr/>
                          <w:dataBinding w:prefixMappings="xmlns:ns0='http://purl.org/dc/elements/1.1/' xmlns:ns1='http://schemas.openxmlformats.org/package/2006/metadata/core-properties' " w:xpath="/ns1:coreProperties[1]/ns0:title[1]" w:storeItemID="{6C3C8BC8-F283-45AE-878A-BAB7291924A1}"/>
                          <w:text/>
                        </w:sdtPr>
                        <w:sdtEndPr/>
                        <w:sdtContent>
                          <w:r w:rsidR="00A11A4A">
                            <w:rPr>
                              <w:rFonts w:asciiTheme="majorHAnsi" w:eastAsiaTheme="majorEastAsia" w:hAnsiTheme="majorHAnsi" w:cstheme="majorBidi"/>
                              <w:b/>
                              <w:color w:val="262626" w:themeColor="text1" w:themeTint="D9"/>
                              <w:sz w:val="72"/>
                              <w:szCs w:val="72"/>
                            </w:rPr>
                            <w:t xml:space="preserve">     </w:t>
                          </w:r>
                        </w:sdtContent>
                      </w:sdt>
                    </w:p>
                    <w:p w:rsidR="00A11A4A" w:rsidRDefault="00777CB5" w:rsidP="00A11A4A">
                      <w:pPr>
                        <w:spacing w:before="120"/>
                        <w:jc w:val="center"/>
                        <w:rPr>
                          <w:color w:val="404040" w:themeColor="text1" w:themeTint="BF"/>
                          <w:sz w:val="36"/>
                          <w:szCs w:val="36"/>
                        </w:rPr>
                      </w:pPr>
                      <w:sdt>
                        <w:sdtPr>
                          <w:rPr>
                            <w:rFonts w:asciiTheme="majorHAnsi" w:eastAsiaTheme="majorEastAsia" w:hAnsiTheme="majorHAnsi" w:cstheme="majorBidi"/>
                            <w:b/>
                            <w:color w:val="262626" w:themeColor="text1" w:themeTint="D9"/>
                            <w:sz w:val="72"/>
                            <w:szCs w:val="72"/>
                          </w:rPr>
                          <w:alias w:val="Subtítulo"/>
                          <w:tag w:val=""/>
                          <w:id w:val="-1268612899"/>
                          <w:showingPlcHdr/>
                          <w:dataBinding w:prefixMappings="xmlns:ns0='http://purl.org/dc/elements/1.1/' xmlns:ns1='http://schemas.openxmlformats.org/package/2006/metadata/core-properties' " w:xpath="/ns1:coreProperties[1]/ns0:subject[1]" w:storeItemID="{6C3C8BC8-F283-45AE-878A-BAB7291924A1}"/>
                          <w:text/>
                        </w:sdtPr>
                        <w:sdtEndPr/>
                        <w:sdtContent>
                          <w:r w:rsidR="00A11A4A">
                            <w:rPr>
                              <w:rFonts w:asciiTheme="majorHAnsi" w:eastAsiaTheme="majorEastAsia" w:hAnsiTheme="majorHAnsi" w:cstheme="majorBidi"/>
                              <w:b/>
                              <w:color w:val="262626" w:themeColor="text1" w:themeTint="D9"/>
                              <w:sz w:val="72"/>
                              <w:szCs w:val="72"/>
                            </w:rPr>
                            <w:t xml:space="preserve">     </w:t>
                          </w:r>
                        </w:sdtContent>
                      </w:sdt>
                      <w:r w:rsidR="00A11A4A">
                        <w:rPr>
                          <w:rFonts w:asciiTheme="majorHAnsi" w:eastAsiaTheme="majorEastAsia" w:hAnsiTheme="majorHAnsi" w:cstheme="majorBidi"/>
                          <w:b/>
                          <w:color w:val="262626" w:themeColor="text1" w:themeTint="D9"/>
                          <w:sz w:val="72"/>
                          <w:szCs w:val="72"/>
                        </w:rPr>
                        <w:t>DIAGNÓSTICO     TESORERÍA</w:t>
                      </w:r>
                    </w:p>
                  </w:txbxContent>
                </v:textbox>
                <w10:wrap anchorx="page" anchory="page"/>
              </v:shape>
            </w:pict>
          </mc:Fallback>
        </mc:AlternateContent>
      </w:r>
      <w:sdt>
        <w:sdtPr>
          <w:rPr>
            <w:rFonts w:asciiTheme="majorHAnsi" w:eastAsiaTheme="majorEastAsia" w:hAnsiTheme="majorHAnsi" w:cstheme="majorBidi"/>
            <w:b/>
            <w:color w:val="262626" w:themeColor="text1" w:themeTint="D9"/>
            <w:sz w:val="72"/>
            <w:szCs w:val="72"/>
          </w:rPr>
          <w:alias w:val="Título"/>
          <w:tag w:val=""/>
          <w:id w:val="-705018352"/>
          <w:showingPlcHd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b/>
              <w:color w:val="262626" w:themeColor="text1" w:themeTint="D9"/>
              <w:sz w:val="72"/>
              <w:szCs w:val="72"/>
            </w:rPr>
            <w:t xml:space="preserve">     </w:t>
          </w:r>
        </w:sdtContent>
      </w:sdt>
    </w:p>
    <w:p w:rsidR="00A11A4A" w:rsidRDefault="00777CB5" w:rsidP="00A11A4A">
      <w:pPr>
        <w:spacing w:before="120"/>
        <w:rPr>
          <w:color w:val="404040" w:themeColor="text1" w:themeTint="BF"/>
          <w:sz w:val="36"/>
          <w:szCs w:val="36"/>
        </w:rPr>
      </w:pPr>
      <w:sdt>
        <w:sdtPr>
          <w:rPr>
            <w:rFonts w:asciiTheme="majorHAnsi" w:eastAsiaTheme="majorEastAsia" w:hAnsiTheme="majorHAnsi" w:cstheme="majorBidi"/>
            <w:b/>
            <w:color w:val="262626" w:themeColor="text1" w:themeTint="D9"/>
            <w:sz w:val="72"/>
            <w:szCs w:val="72"/>
          </w:rPr>
          <w:alias w:val="Subtítulo"/>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1A4A">
            <w:rPr>
              <w:rFonts w:asciiTheme="majorHAnsi" w:eastAsiaTheme="majorEastAsia" w:hAnsiTheme="majorHAnsi" w:cstheme="majorBidi"/>
              <w:b/>
              <w:color w:val="262626" w:themeColor="text1" w:themeTint="D9"/>
              <w:sz w:val="72"/>
              <w:szCs w:val="72"/>
            </w:rPr>
            <w:t xml:space="preserve">     </w:t>
          </w:r>
        </w:sdtContent>
      </w:sdt>
    </w:p>
    <w:p w:rsidR="0058704E" w:rsidRPr="007413C1" w:rsidRDefault="0058704E">
      <w:pPr>
        <w:rPr>
          <w:rFonts w:ascii="Verdana" w:hAnsi="Verdana" w:cs="Helvetica"/>
          <w:color w:val="3C3C3C"/>
          <w:shd w:val="clear" w:color="auto" w:fill="FFFFFF"/>
        </w:rPr>
      </w:pPr>
    </w:p>
    <w:p w:rsidR="006135A7" w:rsidRDefault="006135A7">
      <w:pPr>
        <w:rPr>
          <w:rFonts w:ascii="Verdana" w:hAnsi="Verdana" w:cs="Helvetica"/>
          <w:color w:val="3C3C3C"/>
          <w:shd w:val="clear" w:color="auto" w:fill="FFFFFF"/>
        </w:rPr>
      </w:pPr>
    </w:p>
    <w:p w:rsidR="00A11A4A" w:rsidRDefault="00A11A4A">
      <w:pPr>
        <w:rPr>
          <w:rFonts w:ascii="Verdana" w:hAnsi="Verdana" w:cs="Helvetica"/>
          <w:color w:val="3C3C3C"/>
          <w:shd w:val="clear" w:color="auto" w:fill="FFFFFF"/>
        </w:rPr>
      </w:pPr>
    </w:p>
    <w:p w:rsidR="00A11A4A" w:rsidRPr="007413C1" w:rsidRDefault="00A11A4A">
      <w:pPr>
        <w:rPr>
          <w:rFonts w:ascii="Verdana" w:hAnsi="Verdana" w:cs="Helvetica"/>
          <w:color w:val="3C3C3C"/>
          <w:shd w:val="clear" w:color="auto" w:fill="FFFFFF"/>
        </w:rPr>
      </w:pPr>
    </w:p>
    <w:p w:rsidR="004D54AC" w:rsidRPr="007413C1" w:rsidRDefault="0058704E" w:rsidP="00FC7A14">
      <w:pPr>
        <w:jc w:val="center"/>
        <w:rPr>
          <w:rFonts w:ascii="Verdana" w:hAnsi="Verdana" w:cs="Helvetica"/>
          <w:b/>
          <w:shd w:val="clear" w:color="auto" w:fill="FFFFFF"/>
        </w:rPr>
      </w:pPr>
      <w:r w:rsidRPr="007413C1">
        <w:rPr>
          <w:rFonts w:ascii="Verdana" w:hAnsi="Verdana" w:cs="Helvetica"/>
          <w:b/>
          <w:shd w:val="clear" w:color="auto" w:fill="FFFFFF"/>
        </w:rPr>
        <w:t>ANTECEDENTES</w:t>
      </w:r>
    </w:p>
    <w:p w:rsidR="00444847" w:rsidRPr="007413C1" w:rsidRDefault="00444847" w:rsidP="00FC7A14">
      <w:pPr>
        <w:jc w:val="center"/>
        <w:rPr>
          <w:rFonts w:ascii="Verdana" w:hAnsi="Verdana" w:cs="Helvetica"/>
          <w:shd w:val="clear" w:color="auto" w:fill="FFFFFF"/>
        </w:rPr>
      </w:pPr>
    </w:p>
    <w:p w:rsidR="00342617" w:rsidRPr="007413C1" w:rsidRDefault="00342617" w:rsidP="0058704E">
      <w:pPr>
        <w:spacing w:line="360" w:lineRule="auto"/>
        <w:jc w:val="both"/>
        <w:rPr>
          <w:rFonts w:ascii="Verdana" w:hAnsi="Verdana"/>
        </w:rPr>
      </w:pPr>
      <w:r w:rsidRPr="007413C1">
        <w:rPr>
          <w:rFonts w:ascii="Verdana" w:hAnsi="Verdana"/>
        </w:rPr>
        <w:t xml:space="preserve">El 25 de noviembre de 2008 el pleno de </w:t>
      </w:r>
      <w:r w:rsidR="0058704E" w:rsidRPr="007413C1">
        <w:rPr>
          <w:rFonts w:ascii="Verdana" w:hAnsi="Verdana"/>
        </w:rPr>
        <w:t>la Honorable</w:t>
      </w:r>
      <w:r w:rsidRPr="007413C1">
        <w:rPr>
          <w:rFonts w:ascii="Verdana" w:hAnsi="Verdana"/>
        </w:rPr>
        <w:t xml:space="preserve"> </w:t>
      </w:r>
      <w:r w:rsidR="0058704E" w:rsidRPr="007413C1">
        <w:rPr>
          <w:rFonts w:ascii="Verdana" w:hAnsi="Verdana"/>
        </w:rPr>
        <w:t>Cámara</w:t>
      </w:r>
      <w:r w:rsidRPr="007413C1">
        <w:rPr>
          <w:rFonts w:ascii="Verdana" w:hAnsi="Verdana"/>
        </w:rPr>
        <w:t xml:space="preserve"> de Diputados aprobó el dictamen de decreto que expide la ley general de contabilidad gubernamental y derogo diversas disposiciones de la Ley de Presupuesto y Responsabilidad Hacendaria, turnando al Senado para su ratificación aprobándose por unanimidad en diciembre del mismo año.</w:t>
      </w:r>
    </w:p>
    <w:p w:rsidR="00EE6D1D" w:rsidRPr="007413C1" w:rsidRDefault="00EE6D1D" w:rsidP="0058704E">
      <w:pPr>
        <w:spacing w:line="360" w:lineRule="auto"/>
        <w:jc w:val="both"/>
        <w:rPr>
          <w:rFonts w:ascii="Verdana" w:hAnsi="Verdana"/>
        </w:rPr>
      </w:pPr>
    </w:p>
    <w:p w:rsidR="00F53732" w:rsidRPr="007413C1" w:rsidRDefault="004D54AC" w:rsidP="0058704E">
      <w:pPr>
        <w:spacing w:line="360" w:lineRule="auto"/>
        <w:jc w:val="both"/>
        <w:rPr>
          <w:rFonts w:ascii="Verdana" w:hAnsi="Verdana"/>
        </w:rPr>
      </w:pPr>
      <w:r w:rsidRPr="007413C1">
        <w:rPr>
          <w:rFonts w:ascii="Verdana" w:hAnsi="Verdana"/>
        </w:rPr>
        <w:t xml:space="preserve">El 31 de diciembre de 2008 fue publicada en el Diario Oficial de la Federación la Ley General de Contabilidad Gubernamental (Ley de Contabilidad),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w:t>
      </w:r>
      <w:r w:rsidR="00F53732" w:rsidRPr="007413C1">
        <w:rPr>
          <w:rFonts w:ascii="Verdana" w:hAnsi="Verdana"/>
        </w:rPr>
        <w:t xml:space="preserve">gasto e ingreso públicos. </w:t>
      </w:r>
      <w:r w:rsidR="00342617" w:rsidRPr="007413C1">
        <w:rPr>
          <w:rFonts w:ascii="Verdana" w:hAnsi="Verdana"/>
        </w:rPr>
        <w:t xml:space="preserve">El 1 de enero de 2009 entra en vigor dicha LGCG la cual es aplicable a los tres </w:t>
      </w:r>
      <w:r w:rsidR="0058704E" w:rsidRPr="007413C1">
        <w:rPr>
          <w:rFonts w:ascii="Verdana" w:hAnsi="Verdana"/>
        </w:rPr>
        <w:t>órganos</w:t>
      </w:r>
      <w:r w:rsidR="00342617" w:rsidRPr="007413C1">
        <w:rPr>
          <w:rFonts w:ascii="Verdana" w:hAnsi="Verdana"/>
        </w:rPr>
        <w:t xml:space="preserve"> de gobierno</w:t>
      </w:r>
      <w:r w:rsidR="0058704E" w:rsidRPr="007413C1">
        <w:rPr>
          <w:rFonts w:ascii="Verdana" w:hAnsi="Verdana"/>
        </w:rPr>
        <w:t>.</w:t>
      </w:r>
      <w:r w:rsidR="00F53732" w:rsidRPr="007413C1">
        <w:rPr>
          <w:rFonts w:ascii="Verdana" w:hAnsi="Verdana"/>
        </w:rPr>
        <w:t xml:space="preserve"> La Ley de Contabilidad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w:t>
      </w:r>
      <w:r w:rsidR="0058704E" w:rsidRPr="007413C1">
        <w:rPr>
          <w:rFonts w:ascii="Verdana" w:hAnsi="Verdana"/>
        </w:rPr>
        <w:t>Órganos</w:t>
      </w:r>
      <w:r w:rsidR="00F53732" w:rsidRPr="007413C1">
        <w:rPr>
          <w:rFonts w:ascii="Verdana" w:hAnsi="Verdana"/>
        </w:rPr>
        <w:t xml:space="preserve"> Autónomos Federales y Estatales. El órgano de coordinación para la armonización de la contabilidad gubernamental es el </w:t>
      </w:r>
      <w:r w:rsidR="00F53732" w:rsidRPr="007413C1">
        <w:rPr>
          <w:rFonts w:ascii="Verdana" w:hAnsi="Verdana"/>
        </w:rPr>
        <w:lastRenderedPageBreak/>
        <w:t>Consejo Nacional de Armonización Contable (CONAC), el cual tiene por objeto la emisión de las normas contables y lineamientos para la generación de información financiera que aplicarán los entes públicos, previamente formuladas y propuestas por el Secretario Técnico. El CONAC desempeña una función única debido a que los instrumentos normativos, contables, económicos y financieros que emite deben ser implementados por los entes públicos, a través de las modificaciones, adiciones o reformas a su marco jurídico, lo cual podría consistir en la eventual modificación o expedición de leyes y disposiciones administrativas de carácter local, según sea el caso.</w:t>
      </w:r>
    </w:p>
    <w:p w:rsidR="00BF6580" w:rsidRPr="007413C1" w:rsidRDefault="00BF6580" w:rsidP="0058704E">
      <w:pPr>
        <w:spacing w:line="360" w:lineRule="auto"/>
        <w:jc w:val="both"/>
        <w:rPr>
          <w:rFonts w:ascii="Verdana" w:hAnsi="Verdana"/>
        </w:rPr>
      </w:pPr>
      <w:r w:rsidRPr="007413C1">
        <w:rPr>
          <w:rFonts w:ascii="Verdana" w:hAnsi="Verdana"/>
        </w:rPr>
        <w:t>En el marco de la Ley de Contabilidad, las Entidades Federativas deberán asumir una posición estratégica en las actividades de armonización para que cada uno de sus Municipios logre cumplir con los objetivos que dicha ley ordena. Los gobiernos de las Entidades Federativas deben brindar la cooperación y asistencia necesarias a los gobiernos de sus Municipios, para que éstos logren armonizar su contabilidad, con base en las decisiones que alcance el CONAC.</w:t>
      </w:r>
    </w:p>
    <w:p w:rsidR="00BF6580" w:rsidRPr="007413C1" w:rsidRDefault="007B292E" w:rsidP="00EE6D1D">
      <w:pPr>
        <w:spacing w:line="360" w:lineRule="auto"/>
        <w:jc w:val="both"/>
        <w:rPr>
          <w:rFonts w:ascii="Verdana" w:hAnsi="Verdana"/>
        </w:rPr>
      </w:pPr>
      <w:r w:rsidRPr="007413C1">
        <w:rPr>
          <w:rFonts w:ascii="Verdana" w:hAnsi="Verdana"/>
        </w:rPr>
        <w:t>La tesorería municipal de Santa Cruz de Juventino Rosas tiene dentro de sus atribuciones y responsabilidades.</w:t>
      </w:r>
    </w:p>
    <w:p w:rsidR="0058704E" w:rsidRPr="007413C1" w:rsidRDefault="0058704E" w:rsidP="0058704E">
      <w:pPr>
        <w:tabs>
          <w:tab w:val="left" w:pos="0"/>
        </w:tabs>
        <w:spacing w:line="360" w:lineRule="auto"/>
        <w:ind w:right="20"/>
        <w:jc w:val="center"/>
        <w:outlineLvl w:val="0"/>
        <w:rPr>
          <w:rFonts w:ascii="Verdana" w:hAnsi="Verdana" w:cs="Arial"/>
          <w:b/>
          <w:lang w:val="es-ES_tradnl"/>
        </w:rPr>
      </w:pPr>
    </w:p>
    <w:p w:rsidR="0058704E" w:rsidRPr="007413C1" w:rsidRDefault="003D605A" w:rsidP="0058704E">
      <w:pPr>
        <w:numPr>
          <w:ilvl w:val="0"/>
          <w:numId w:val="2"/>
        </w:numPr>
        <w:spacing w:after="0" w:line="360" w:lineRule="auto"/>
        <w:jc w:val="both"/>
        <w:rPr>
          <w:rFonts w:ascii="Verdana" w:hAnsi="Verdana" w:cs="Arial"/>
        </w:rPr>
      </w:pPr>
      <w:r w:rsidRPr="007413C1">
        <w:rPr>
          <w:rFonts w:ascii="Verdana" w:hAnsi="Verdana" w:cs="Arial"/>
        </w:rPr>
        <w:t>Recaudar y controlar los ingresos.</w:t>
      </w:r>
    </w:p>
    <w:p w:rsidR="0058704E" w:rsidRPr="007413C1" w:rsidRDefault="003D605A" w:rsidP="0058704E">
      <w:pPr>
        <w:numPr>
          <w:ilvl w:val="0"/>
          <w:numId w:val="2"/>
        </w:numPr>
        <w:spacing w:after="0" w:line="360" w:lineRule="auto"/>
        <w:jc w:val="both"/>
        <w:rPr>
          <w:rFonts w:ascii="Verdana" w:hAnsi="Verdana" w:cs="Arial"/>
        </w:rPr>
      </w:pPr>
      <w:r w:rsidRPr="007413C1">
        <w:rPr>
          <w:rFonts w:ascii="Verdana" w:hAnsi="Verdana" w:cs="Arial"/>
        </w:rPr>
        <w:t>Verificar la recaudación de las contribuciones municipales de acuerdo con las disposiciones generales.</w:t>
      </w:r>
    </w:p>
    <w:p w:rsidR="0058704E" w:rsidRPr="007413C1" w:rsidRDefault="003D605A" w:rsidP="0058704E">
      <w:pPr>
        <w:numPr>
          <w:ilvl w:val="0"/>
          <w:numId w:val="2"/>
        </w:numPr>
        <w:spacing w:after="0" w:line="360" w:lineRule="auto"/>
        <w:jc w:val="both"/>
        <w:rPr>
          <w:rFonts w:ascii="Verdana" w:hAnsi="Verdana" w:cs="Arial"/>
        </w:rPr>
      </w:pPr>
      <w:r w:rsidRPr="007413C1">
        <w:rPr>
          <w:rFonts w:ascii="Verdana" w:hAnsi="Verdana" w:cs="Arial"/>
        </w:rPr>
        <w:t>Tener al día los registros y controles que sean necesarios para la debida captación, resguardo y comprobación de los ingresos y egresos.</w:t>
      </w:r>
    </w:p>
    <w:p w:rsidR="0058704E" w:rsidRPr="007413C1" w:rsidRDefault="003D605A" w:rsidP="0058704E">
      <w:pPr>
        <w:numPr>
          <w:ilvl w:val="0"/>
          <w:numId w:val="2"/>
        </w:numPr>
        <w:spacing w:after="0" w:line="360" w:lineRule="auto"/>
        <w:jc w:val="both"/>
        <w:rPr>
          <w:rFonts w:ascii="Verdana" w:hAnsi="Verdana" w:cs="Arial"/>
        </w:rPr>
      </w:pPr>
      <w:r w:rsidRPr="007413C1">
        <w:rPr>
          <w:rFonts w:ascii="Verdana" w:hAnsi="Verdana" w:cs="Arial"/>
        </w:rPr>
        <w:t>Proporcionar oportunamente al ayuntamiento todos los datos e informes que sean necesarios para la formulación del presupuesto de egresos y del presupuesto de egresos y del proyecto de ingresos municipales vigilando que dichos ordenamientos se ajusten a las disposiciones de la ley.</w:t>
      </w:r>
    </w:p>
    <w:p w:rsidR="0058704E" w:rsidRPr="007413C1" w:rsidRDefault="003D605A" w:rsidP="0058704E">
      <w:pPr>
        <w:numPr>
          <w:ilvl w:val="0"/>
          <w:numId w:val="2"/>
        </w:numPr>
        <w:spacing w:after="0" w:line="360" w:lineRule="auto"/>
        <w:jc w:val="both"/>
        <w:rPr>
          <w:rFonts w:ascii="Verdana" w:hAnsi="Verdana" w:cs="Arial"/>
        </w:rPr>
      </w:pPr>
      <w:r w:rsidRPr="007413C1">
        <w:rPr>
          <w:rFonts w:ascii="Verdana" w:hAnsi="Verdana" w:cs="Arial"/>
        </w:rPr>
        <w:t>Dar pronto y exacto cumplimiento a los acuerdos, órdenes y disposiciones del ayuntamiento y del presidente municipal, que le sean comunicados.</w:t>
      </w:r>
    </w:p>
    <w:p w:rsidR="0058704E" w:rsidRPr="007413C1" w:rsidRDefault="003D605A" w:rsidP="0058704E">
      <w:pPr>
        <w:numPr>
          <w:ilvl w:val="0"/>
          <w:numId w:val="2"/>
        </w:numPr>
        <w:spacing w:after="0" w:line="360" w:lineRule="auto"/>
        <w:jc w:val="both"/>
        <w:rPr>
          <w:rFonts w:ascii="Verdana" w:hAnsi="Verdana" w:cs="Arial"/>
        </w:rPr>
      </w:pPr>
      <w:r w:rsidRPr="007413C1">
        <w:rPr>
          <w:rFonts w:ascii="Verdana" w:hAnsi="Verdana" w:cs="Arial"/>
        </w:rPr>
        <w:t>Supervisar la contestación oportuna a las observaciones de la contaduría mayor de hacienda.</w:t>
      </w:r>
    </w:p>
    <w:p w:rsidR="0058704E" w:rsidRPr="007413C1" w:rsidRDefault="003D605A" w:rsidP="0058704E">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lastRenderedPageBreak/>
        <w:t xml:space="preserve">Vigilar que se brinde una atención optima al público en general que acude a la tesorería. </w:t>
      </w:r>
    </w:p>
    <w:p w:rsidR="007B292E"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Documentar toda ministración de fondos públicos</w:t>
      </w:r>
    </w:p>
    <w:p w:rsidR="007B292E" w:rsidRPr="007413C1" w:rsidRDefault="003D605A" w:rsidP="008A522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 xml:space="preserve">Ejercer la </w:t>
      </w:r>
      <w:r w:rsidR="00B049A2" w:rsidRPr="007413C1">
        <w:rPr>
          <w:rFonts w:ascii="Verdana" w:hAnsi="Verdana" w:cs="Arial"/>
        </w:rPr>
        <w:t>facultad económica</w:t>
      </w:r>
      <w:r w:rsidR="008A5225" w:rsidRPr="007413C1">
        <w:rPr>
          <w:rFonts w:ascii="Verdana" w:hAnsi="Verdana" w:cs="Arial"/>
          <w:b/>
        </w:rPr>
        <w:t>,</w:t>
      </w:r>
      <w:r w:rsidRPr="007413C1">
        <w:rPr>
          <w:rFonts w:ascii="Verdana" w:hAnsi="Verdana" w:cs="Arial"/>
        </w:rPr>
        <w:t xml:space="preserve"> coactiva y, en su caso, delegarla conforme a las leyes y reglamentos</w:t>
      </w:r>
      <w:r w:rsidRPr="007413C1">
        <w:rPr>
          <w:rFonts w:ascii="Verdana" w:hAnsi="Verdana" w:cs="Arial"/>
          <w:b/>
        </w:rPr>
        <w:t xml:space="preserve"> </w:t>
      </w:r>
      <w:r w:rsidRPr="007413C1">
        <w:rPr>
          <w:rFonts w:ascii="Verdana" w:hAnsi="Verdana" w:cs="Arial"/>
        </w:rPr>
        <w:t>vigentes.</w:t>
      </w:r>
    </w:p>
    <w:p w:rsidR="007B292E"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 xml:space="preserve"> Proponer al ayuntamiento, las medidas o</w:t>
      </w:r>
      <w:r w:rsidRPr="007413C1">
        <w:rPr>
          <w:rFonts w:ascii="Verdana" w:hAnsi="Verdana" w:cs="Arial"/>
          <w:b/>
        </w:rPr>
        <w:t xml:space="preserve"> </w:t>
      </w:r>
      <w:r w:rsidRPr="007413C1">
        <w:rPr>
          <w:rFonts w:ascii="Verdana" w:hAnsi="Verdana" w:cs="Arial"/>
        </w:rPr>
        <w:t>disposiciones que tiendan a incrementar los</w:t>
      </w:r>
      <w:r w:rsidRPr="007413C1">
        <w:rPr>
          <w:rFonts w:ascii="Verdana" w:hAnsi="Verdana" w:cs="Arial"/>
          <w:b/>
        </w:rPr>
        <w:t xml:space="preserve"> </w:t>
      </w:r>
      <w:r w:rsidRPr="007413C1">
        <w:rPr>
          <w:rFonts w:ascii="Verdana" w:hAnsi="Verdana" w:cs="Arial"/>
        </w:rPr>
        <w:t>recursos económicos que constituyen la hacienda</w:t>
      </w:r>
      <w:r w:rsidRPr="007413C1">
        <w:rPr>
          <w:rFonts w:ascii="Verdana" w:hAnsi="Verdana" w:cs="Arial"/>
          <w:b/>
        </w:rPr>
        <w:t xml:space="preserve"> </w:t>
      </w:r>
      <w:r w:rsidR="008506AA" w:rsidRPr="007413C1">
        <w:rPr>
          <w:rFonts w:ascii="Verdana" w:hAnsi="Verdana" w:cs="Arial"/>
        </w:rPr>
        <w:t>pública</w:t>
      </w:r>
      <w:r w:rsidRPr="007413C1">
        <w:rPr>
          <w:rFonts w:ascii="Verdana" w:hAnsi="Verdana" w:cs="Arial"/>
        </w:rPr>
        <w:t xml:space="preserve"> municipal.</w:t>
      </w:r>
    </w:p>
    <w:p w:rsidR="007B292E"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Aplicar los ingresos, de acuerdo con el</w:t>
      </w:r>
      <w:r w:rsidRPr="007413C1">
        <w:rPr>
          <w:rFonts w:ascii="Verdana" w:hAnsi="Verdana" w:cs="Arial"/>
          <w:b/>
        </w:rPr>
        <w:t xml:space="preserve"> </w:t>
      </w:r>
      <w:r w:rsidRPr="007413C1">
        <w:rPr>
          <w:rFonts w:ascii="Verdana" w:hAnsi="Verdana" w:cs="Arial"/>
        </w:rPr>
        <w:t>presupuesto de egresos aprobado por el</w:t>
      </w:r>
      <w:r w:rsidRPr="007413C1">
        <w:rPr>
          <w:rFonts w:ascii="Verdana" w:hAnsi="Verdana" w:cs="Arial"/>
          <w:b/>
        </w:rPr>
        <w:t xml:space="preserve"> </w:t>
      </w:r>
      <w:r w:rsidRPr="007413C1">
        <w:rPr>
          <w:rFonts w:ascii="Verdana" w:hAnsi="Verdana" w:cs="Arial"/>
        </w:rPr>
        <w:t>ayuntamiento.</w:t>
      </w:r>
    </w:p>
    <w:p w:rsidR="007B292E"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Llevar la contabilidad general y el control del</w:t>
      </w:r>
      <w:r w:rsidRPr="007413C1">
        <w:rPr>
          <w:rFonts w:ascii="Verdana" w:hAnsi="Verdana" w:cs="Arial"/>
          <w:b/>
        </w:rPr>
        <w:t xml:space="preserve"> </w:t>
      </w:r>
      <w:r w:rsidRPr="007413C1">
        <w:rPr>
          <w:rFonts w:ascii="Verdana" w:hAnsi="Verdana" w:cs="Arial"/>
        </w:rPr>
        <w:t>ejercicio presupuestal.</w:t>
      </w:r>
    </w:p>
    <w:p w:rsidR="003D3D05"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Llevar el registro, catalogo e inventario de los</w:t>
      </w:r>
      <w:r w:rsidRPr="007413C1">
        <w:rPr>
          <w:rFonts w:ascii="Verdana" w:hAnsi="Verdana" w:cs="Arial"/>
          <w:b/>
        </w:rPr>
        <w:t xml:space="preserve"> </w:t>
      </w:r>
      <w:r w:rsidRPr="007413C1">
        <w:rPr>
          <w:rFonts w:ascii="Verdana" w:hAnsi="Verdana" w:cs="Arial"/>
        </w:rPr>
        <w:t>bienes muebles e inmuebles de propiedad municipal.</w:t>
      </w:r>
      <w:r w:rsidRPr="007413C1">
        <w:rPr>
          <w:rFonts w:ascii="Verdana" w:hAnsi="Verdana" w:cs="Arial"/>
          <w:b/>
        </w:rPr>
        <w:t xml:space="preserve"> </w:t>
      </w:r>
    </w:p>
    <w:p w:rsidR="007B292E"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 xml:space="preserve">Elaborar y someter a la </w:t>
      </w:r>
      <w:r w:rsidR="00B049A2" w:rsidRPr="007413C1">
        <w:rPr>
          <w:rFonts w:ascii="Verdana" w:hAnsi="Verdana" w:cs="Arial"/>
        </w:rPr>
        <w:t>aprobación</w:t>
      </w:r>
      <w:r w:rsidRPr="007413C1">
        <w:rPr>
          <w:rFonts w:ascii="Verdana" w:hAnsi="Verdana" w:cs="Arial"/>
        </w:rPr>
        <w:t xml:space="preserve"> del</w:t>
      </w:r>
      <w:r w:rsidRPr="007413C1">
        <w:rPr>
          <w:rFonts w:ascii="Verdana" w:hAnsi="Verdana" w:cs="Arial"/>
          <w:b/>
        </w:rPr>
        <w:t xml:space="preserve"> </w:t>
      </w:r>
      <w:r w:rsidRPr="007413C1">
        <w:rPr>
          <w:rFonts w:ascii="Verdana" w:hAnsi="Verdana" w:cs="Arial"/>
        </w:rPr>
        <w:t>ayuntamiento, el programa financiero, mediante el</w:t>
      </w:r>
      <w:r w:rsidRPr="007413C1">
        <w:rPr>
          <w:rFonts w:ascii="Verdana" w:hAnsi="Verdana" w:cs="Arial"/>
          <w:b/>
        </w:rPr>
        <w:t xml:space="preserve"> </w:t>
      </w:r>
      <w:r w:rsidRPr="007413C1">
        <w:rPr>
          <w:rFonts w:ascii="Verdana" w:hAnsi="Verdana" w:cs="Arial"/>
        </w:rPr>
        <w:t xml:space="preserve">cual se maneja la deuda </w:t>
      </w:r>
      <w:r w:rsidR="008506AA" w:rsidRPr="007413C1">
        <w:rPr>
          <w:rFonts w:ascii="Verdana" w:hAnsi="Verdana" w:cs="Arial"/>
        </w:rPr>
        <w:t>pública</w:t>
      </w:r>
      <w:r w:rsidRPr="007413C1">
        <w:rPr>
          <w:rFonts w:ascii="Verdana" w:hAnsi="Verdana" w:cs="Arial"/>
        </w:rPr>
        <w:t xml:space="preserve"> municipal y su forma</w:t>
      </w:r>
      <w:r w:rsidRPr="007413C1">
        <w:rPr>
          <w:rFonts w:ascii="Verdana" w:hAnsi="Verdana" w:cs="Arial"/>
          <w:b/>
        </w:rPr>
        <w:t xml:space="preserve"> </w:t>
      </w:r>
      <w:r w:rsidRPr="007413C1">
        <w:rPr>
          <w:rFonts w:ascii="Verdana" w:hAnsi="Verdana" w:cs="Arial"/>
        </w:rPr>
        <w:t>de administrarla.</w:t>
      </w:r>
    </w:p>
    <w:p w:rsidR="007B292E"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Glosar oportunamente las cuentas de la</w:t>
      </w:r>
      <w:r w:rsidRPr="007413C1">
        <w:rPr>
          <w:rFonts w:ascii="Verdana" w:hAnsi="Verdana" w:cs="Arial"/>
          <w:b/>
        </w:rPr>
        <w:t xml:space="preserve"> </w:t>
      </w:r>
      <w:r w:rsidRPr="007413C1">
        <w:rPr>
          <w:rFonts w:ascii="Verdana" w:hAnsi="Verdana" w:cs="Arial"/>
        </w:rPr>
        <w:t>administración pública municipal.</w:t>
      </w:r>
    </w:p>
    <w:p w:rsidR="007B292E"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Remitir al congreso del estado, la cuenta pública</w:t>
      </w:r>
      <w:r w:rsidRPr="007413C1">
        <w:rPr>
          <w:rFonts w:ascii="Verdana" w:hAnsi="Verdana" w:cs="Arial"/>
          <w:b/>
        </w:rPr>
        <w:t xml:space="preserve"> </w:t>
      </w:r>
      <w:r w:rsidRPr="007413C1">
        <w:rPr>
          <w:rFonts w:ascii="Verdana" w:hAnsi="Verdana" w:cs="Arial"/>
        </w:rPr>
        <w:t>municipal, la que deberá ser firmada</w:t>
      </w:r>
      <w:r w:rsidRPr="007413C1">
        <w:rPr>
          <w:rFonts w:ascii="Verdana" w:hAnsi="Verdana" w:cs="Arial"/>
          <w:b/>
        </w:rPr>
        <w:t xml:space="preserve"> </w:t>
      </w:r>
      <w:r w:rsidRPr="007413C1">
        <w:rPr>
          <w:rFonts w:ascii="Verdana" w:hAnsi="Verdana" w:cs="Arial"/>
        </w:rPr>
        <w:t>preferentemente por un integrante de la primera</w:t>
      </w:r>
      <w:r w:rsidRPr="007413C1">
        <w:rPr>
          <w:rFonts w:ascii="Verdana" w:hAnsi="Verdana" w:cs="Arial"/>
          <w:b/>
        </w:rPr>
        <w:t xml:space="preserve"> </w:t>
      </w:r>
      <w:r w:rsidRPr="007413C1">
        <w:rPr>
          <w:rFonts w:ascii="Verdana" w:hAnsi="Verdana" w:cs="Arial"/>
        </w:rPr>
        <w:t>minoría de la comisión de hacienda, patrimonio y</w:t>
      </w:r>
      <w:r w:rsidRPr="007413C1">
        <w:rPr>
          <w:rFonts w:ascii="Verdana" w:hAnsi="Verdana" w:cs="Arial"/>
          <w:b/>
        </w:rPr>
        <w:t xml:space="preserve"> </w:t>
      </w:r>
      <w:r w:rsidRPr="007413C1">
        <w:rPr>
          <w:rFonts w:ascii="Verdana" w:hAnsi="Verdana" w:cs="Arial"/>
        </w:rPr>
        <w:t>cuenta pública en el ayuntamiento.</w:t>
      </w:r>
    </w:p>
    <w:p w:rsidR="007B292E"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Rendir los informes contables y financieros</w:t>
      </w:r>
      <w:r w:rsidRPr="007413C1">
        <w:rPr>
          <w:rFonts w:ascii="Verdana" w:hAnsi="Verdana" w:cs="Arial"/>
          <w:b/>
        </w:rPr>
        <w:t xml:space="preserve"> </w:t>
      </w:r>
      <w:r w:rsidRPr="007413C1">
        <w:rPr>
          <w:rFonts w:ascii="Verdana" w:hAnsi="Verdana" w:cs="Arial"/>
        </w:rPr>
        <w:t>mensuales, dentro del mes siguiente, y atender las</w:t>
      </w:r>
      <w:r w:rsidRPr="007413C1">
        <w:rPr>
          <w:rFonts w:ascii="Verdana" w:hAnsi="Verdana" w:cs="Arial"/>
          <w:b/>
        </w:rPr>
        <w:t xml:space="preserve"> </w:t>
      </w:r>
      <w:r w:rsidRPr="007413C1">
        <w:rPr>
          <w:rFonts w:ascii="Verdana" w:hAnsi="Verdana" w:cs="Arial"/>
        </w:rPr>
        <w:t>observaciones que se formulen sobre los mismos.</w:t>
      </w:r>
      <w:r w:rsidRPr="007413C1">
        <w:rPr>
          <w:rFonts w:ascii="Verdana" w:hAnsi="Verdana" w:cs="Arial"/>
          <w:b/>
        </w:rPr>
        <w:t xml:space="preserve"> </w:t>
      </w:r>
      <w:r w:rsidRPr="007413C1">
        <w:rPr>
          <w:rFonts w:ascii="Verdana" w:hAnsi="Verdana" w:cs="Arial"/>
        </w:rPr>
        <w:t>dichos informes deberán ser firmados, además, por</w:t>
      </w:r>
      <w:r w:rsidRPr="007413C1">
        <w:rPr>
          <w:rFonts w:ascii="Verdana" w:hAnsi="Verdana" w:cs="Arial"/>
          <w:b/>
        </w:rPr>
        <w:t xml:space="preserve"> </w:t>
      </w:r>
      <w:r w:rsidRPr="007413C1">
        <w:rPr>
          <w:rFonts w:ascii="Verdana" w:hAnsi="Verdana" w:cs="Arial"/>
        </w:rPr>
        <w:t>el presidente municipal.</w:t>
      </w:r>
    </w:p>
    <w:p w:rsidR="007B292E"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Integrar los estados contables de cierre de</w:t>
      </w:r>
      <w:r w:rsidRPr="007413C1">
        <w:rPr>
          <w:rFonts w:ascii="Verdana" w:hAnsi="Verdana" w:cs="Arial"/>
          <w:b/>
        </w:rPr>
        <w:t xml:space="preserve"> </w:t>
      </w:r>
      <w:r w:rsidRPr="007413C1">
        <w:rPr>
          <w:rFonts w:ascii="Verdana" w:hAnsi="Verdana" w:cs="Arial"/>
        </w:rPr>
        <w:t>ejercicio de la administración pública municipal y</w:t>
      </w:r>
      <w:r w:rsidRPr="007413C1">
        <w:rPr>
          <w:rFonts w:ascii="Verdana" w:hAnsi="Verdana" w:cs="Arial"/>
          <w:b/>
        </w:rPr>
        <w:t xml:space="preserve"> </w:t>
      </w:r>
      <w:r w:rsidRPr="007413C1">
        <w:rPr>
          <w:rFonts w:ascii="Verdana" w:hAnsi="Verdana" w:cs="Arial"/>
        </w:rPr>
        <w:t>demás documentación, para que sea agregado al acta</w:t>
      </w:r>
      <w:r w:rsidRPr="007413C1">
        <w:rPr>
          <w:rFonts w:ascii="Verdana" w:hAnsi="Verdana" w:cs="Arial"/>
          <w:b/>
        </w:rPr>
        <w:t xml:space="preserve"> </w:t>
      </w:r>
      <w:r w:rsidRPr="007413C1">
        <w:rPr>
          <w:rFonts w:ascii="Verdana" w:hAnsi="Verdana" w:cs="Arial"/>
        </w:rPr>
        <w:t>de entrega recepción</w:t>
      </w:r>
      <w:r w:rsidRPr="007413C1">
        <w:rPr>
          <w:rFonts w:ascii="Verdana" w:hAnsi="Verdana" w:cs="Arial"/>
          <w:b/>
        </w:rPr>
        <w:t xml:space="preserve"> </w:t>
      </w:r>
      <w:r w:rsidRPr="007413C1">
        <w:rPr>
          <w:rFonts w:ascii="Verdana" w:hAnsi="Verdana" w:cs="Arial"/>
        </w:rPr>
        <w:t>de la misma, en el rubro</w:t>
      </w:r>
      <w:r w:rsidRPr="007413C1">
        <w:rPr>
          <w:rFonts w:ascii="Verdana" w:hAnsi="Verdana" w:cs="Arial"/>
          <w:b/>
        </w:rPr>
        <w:t xml:space="preserve"> </w:t>
      </w:r>
      <w:r w:rsidRPr="007413C1">
        <w:rPr>
          <w:rFonts w:ascii="Verdana" w:hAnsi="Verdana" w:cs="Arial"/>
        </w:rPr>
        <w:t>relativo a la tesorería.</w:t>
      </w:r>
    </w:p>
    <w:p w:rsidR="007B292E"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Formar y actualizar el catastro municipal.</w:t>
      </w:r>
    </w:p>
    <w:p w:rsidR="007B292E"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 xml:space="preserve"> Diseñar y mantener actualizado un sistema de</w:t>
      </w:r>
      <w:r w:rsidRPr="007413C1">
        <w:rPr>
          <w:rFonts w:ascii="Verdana" w:hAnsi="Verdana" w:cs="Arial"/>
          <w:b/>
        </w:rPr>
        <w:t xml:space="preserve"> </w:t>
      </w:r>
      <w:r w:rsidRPr="007413C1">
        <w:rPr>
          <w:rFonts w:ascii="Verdana" w:hAnsi="Verdana" w:cs="Arial"/>
        </w:rPr>
        <w:t>información y orientación fiscal, para los</w:t>
      </w:r>
      <w:r w:rsidRPr="007413C1">
        <w:rPr>
          <w:rFonts w:ascii="Verdana" w:hAnsi="Verdana" w:cs="Arial"/>
          <w:b/>
        </w:rPr>
        <w:t xml:space="preserve"> </w:t>
      </w:r>
      <w:r w:rsidRPr="007413C1">
        <w:rPr>
          <w:rFonts w:ascii="Verdana" w:hAnsi="Verdana" w:cs="Arial"/>
        </w:rPr>
        <w:t>contribuyentes del fisco municipal.</w:t>
      </w:r>
    </w:p>
    <w:p w:rsidR="007B292E"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lastRenderedPageBreak/>
        <w:t>Revisar los anteproyectos de presupuestos de</w:t>
      </w:r>
      <w:r w:rsidRPr="007413C1">
        <w:rPr>
          <w:rFonts w:ascii="Verdana" w:hAnsi="Verdana" w:cs="Arial"/>
          <w:b/>
        </w:rPr>
        <w:t xml:space="preserve"> </w:t>
      </w:r>
      <w:r w:rsidRPr="007413C1">
        <w:rPr>
          <w:rFonts w:ascii="Verdana" w:hAnsi="Verdana" w:cs="Arial"/>
        </w:rPr>
        <w:t>egresos de las entidades que integren el sector</w:t>
      </w:r>
      <w:r w:rsidRPr="007413C1">
        <w:rPr>
          <w:rFonts w:ascii="Verdana" w:hAnsi="Verdana" w:cs="Arial"/>
          <w:b/>
        </w:rPr>
        <w:t xml:space="preserve"> </w:t>
      </w:r>
      <w:r w:rsidRPr="007413C1">
        <w:rPr>
          <w:rFonts w:ascii="Verdana" w:hAnsi="Verdana" w:cs="Arial"/>
        </w:rPr>
        <w:t>paramunicipal, para su incorporación al presupuesto</w:t>
      </w:r>
      <w:r w:rsidRPr="007413C1">
        <w:rPr>
          <w:rFonts w:ascii="Verdana" w:hAnsi="Verdana" w:cs="Arial"/>
          <w:b/>
        </w:rPr>
        <w:t xml:space="preserve"> </w:t>
      </w:r>
      <w:r w:rsidRPr="007413C1">
        <w:rPr>
          <w:rFonts w:ascii="Verdana" w:hAnsi="Verdana" w:cs="Arial"/>
        </w:rPr>
        <w:t>de egresos del ayuntamiento.</w:t>
      </w:r>
    </w:p>
    <w:p w:rsidR="003D3D05"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Proponer al ayuntamiento, las cuotas y tarifas</w:t>
      </w:r>
      <w:r w:rsidRPr="007413C1">
        <w:rPr>
          <w:rFonts w:ascii="Verdana" w:hAnsi="Verdana" w:cs="Arial"/>
          <w:b/>
        </w:rPr>
        <w:t xml:space="preserve"> </w:t>
      </w:r>
      <w:r w:rsidRPr="007413C1">
        <w:rPr>
          <w:rFonts w:ascii="Verdana" w:hAnsi="Verdana" w:cs="Arial"/>
        </w:rPr>
        <w:t>aplicables a impuestos, derechos, contribuciones de</w:t>
      </w:r>
      <w:r w:rsidRPr="007413C1">
        <w:rPr>
          <w:rFonts w:ascii="Verdana" w:hAnsi="Verdana" w:cs="Arial"/>
          <w:b/>
        </w:rPr>
        <w:t xml:space="preserve"> </w:t>
      </w:r>
      <w:r w:rsidRPr="007413C1">
        <w:rPr>
          <w:rFonts w:ascii="Verdana" w:hAnsi="Verdana" w:cs="Arial"/>
        </w:rPr>
        <w:t>mejoras, así como las tablas de valores unitarios del</w:t>
      </w:r>
      <w:r w:rsidRPr="007413C1">
        <w:rPr>
          <w:rFonts w:ascii="Verdana" w:hAnsi="Verdana" w:cs="Arial"/>
          <w:b/>
        </w:rPr>
        <w:t xml:space="preserve"> </w:t>
      </w:r>
      <w:r w:rsidRPr="007413C1">
        <w:rPr>
          <w:rFonts w:ascii="Verdana" w:hAnsi="Verdana" w:cs="Arial"/>
        </w:rPr>
        <w:t>suelo y de construcciones que sirvan de base para el</w:t>
      </w:r>
      <w:r w:rsidRPr="007413C1">
        <w:rPr>
          <w:rFonts w:ascii="Verdana" w:hAnsi="Verdana" w:cs="Arial"/>
          <w:b/>
        </w:rPr>
        <w:t xml:space="preserve"> </w:t>
      </w:r>
      <w:r w:rsidRPr="007413C1">
        <w:rPr>
          <w:rFonts w:ascii="Verdana" w:hAnsi="Verdana" w:cs="Arial"/>
        </w:rPr>
        <w:t>cobro de las contribuciones sobre la propiedad</w:t>
      </w:r>
      <w:r w:rsidRPr="007413C1">
        <w:rPr>
          <w:rFonts w:ascii="Verdana" w:hAnsi="Verdana" w:cs="Arial"/>
          <w:b/>
        </w:rPr>
        <w:t xml:space="preserve"> </w:t>
      </w:r>
      <w:r w:rsidRPr="007413C1">
        <w:rPr>
          <w:rFonts w:ascii="Verdana" w:hAnsi="Verdana" w:cs="Arial"/>
        </w:rPr>
        <w:t>inmobiliaria, en los términos de la ley para el</w:t>
      </w:r>
      <w:r w:rsidRPr="007413C1">
        <w:rPr>
          <w:rFonts w:ascii="Verdana" w:hAnsi="Verdana" w:cs="Arial"/>
          <w:b/>
        </w:rPr>
        <w:t xml:space="preserve"> </w:t>
      </w:r>
      <w:r w:rsidRPr="007413C1">
        <w:rPr>
          <w:rFonts w:ascii="Verdana" w:hAnsi="Verdana" w:cs="Arial"/>
        </w:rPr>
        <w:t>ejercicio y control de los recursos públicos para el</w:t>
      </w:r>
      <w:r w:rsidRPr="007413C1">
        <w:rPr>
          <w:rFonts w:ascii="Verdana" w:hAnsi="Verdana" w:cs="Arial"/>
          <w:b/>
        </w:rPr>
        <w:t xml:space="preserve"> </w:t>
      </w:r>
      <w:r w:rsidRPr="007413C1">
        <w:rPr>
          <w:rFonts w:ascii="Verdana" w:hAnsi="Verdana" w:cs="Arial"/>
        </w:rPr>
        <w:t>estado y los municipios de Guanajuato.</w:t>
      </w:r>
    </w:p>
    <w:p w:rsidR="008A5225" w:rsidRPr="007413C1" w:rsidRDefault="008A5225"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 xml:space="preserve">Publicar la información contable, financiera y presupuestal </w:t>
      </w:r>
    </w:p>
    <w:p w:rsidR="007B292E" w:rsidRPr="007413C1" w:rsidRDefault="003D605A" w:rsidP="003D3D05">
      <w:pPr>
        <w:numPr>
          <w:ilvl w:val="0"/>
          <w:numId w:val="2"/>
        </w:numPr>
        <w:tabs>
          <w:tab w:val="left" w:pos="0"/>
        </w:tabs>
        <w:spacing w:after="0" w:line="360" w:lineRule="auto"/>
        <w:ind w:right="20"/>
        <w:jc w:val="both"/>
        <w:outlineLvl w:val="0"/>
        <w:rPr>
          <w:rFonts w:ascii="Verdana" w:hAnsi="Verdana" w:cs="Arial"/>
          <w:b/>
        </w:rPr>
      </w:pPr>
      <w:r w:rsidRPr="007413C1">
        <w:rPr>
          <w:rFonts w:ascii="Verdana" w:hAnsi="Verdana" w:cs="Arial"/>
        </w:rPr>
        <w:t>Y las demás que le confiera esta u otras leyes,</w:t>
      </w:r>
      <w:r w:rsidRPr="007413C1">
        <w:rPr>
          <w:rFonts w:ascii="Verdana" w:hAnsi="Verdana" w:cs="Arial"/>
          <w:b/>
        </w:rPr>
        <w:t xml:space="preserve"> </w:t>
      </w:r>
      <w:r w:rsidRPr="007413C1">
        <w:rPr>
          <w:rFonts w:ascii="Verdana" w:hAnsi="Verdana" w:cs="Arial"/>
        </w:rPr>
        <w:t>reglamentos, bandos municipales y acuerdos de</w:t>
      </w:r>
      <w:r w:rsidRPr="007413C1">
        <w:rPr>
          <w:rFonts w:ascii="Verdana" w:hAnsi="Verdana" w:cs="Arial"/>
          <w:b/>
        </w:rPr>
        <w:t xml:space="preserve"> </w:t>
      </w:r>
      <w:r w:rsidRPr="007413C1">
        <w:rPr>
          <w:rFonts w:ascii="Verdana" w:hAnsi="Verdana" w:cs="Arial"/>
        </w:rPr>
        <w:t>ayuntamiento.</w:t>
      </w:r>
    </w:p>
    <w:p w:rsidR="003D3D05" w:rsidRPr="007413C1" w:rsidRDefault="003D3D05" w:rsidP="003D3D05">
      <w:pPr>
        <w:tabs>
          <w:tab w:val="left" w:pos="0"/>
        </w:tabs>
        <w:spacing w:after="0" w:line="360" w:lineRule="auto"/>
        <w:ind w:left="720" w:right="20"/>
        <w:jc w:val="both"/>
        <w:outlineLvl w:val="0"/>
        <w:rPr>
          <w:rFonts w:ascii="Verdana" w:hAnsi="Verdana" w:cs="Arial"/>
          <w:b/>
        </w:rPr>
      </w:pPr>
    </w:p>
    <w:p w:rsidR="007B292E" w:rsidRPr="007413C1" w:rsidRDefault="007B292E" w:rsidP="00EC2225">
      <w:pPr>
        <w:autoSpaceDE w:val="0"/>
        <w:autoSpaceDN w:val="0"/>
        <w:adjustRightInd w:val="0"/>
        <w:rPr>
          <w:rFonts w:ascii="Verdana" w:hAnsi="Verdana" w:cs="Arial"/>
        </w:rPr>
      </w:pPr>
      <w:r w:rsidRPr="007413C1">
        <w:rPr>
          <w:rFonts w:ascii="Verdana" w:hAnsi="Verdana" w:cs="Arial"/>
        </w:rPr>
        <w:t>Artículo 130 LEY</w:t>
      </w:r>
      <w:r w:rsidR="00EC2225" w:rsidRPr="007413C1">
        <w:rPr>
          <w:rFonts w:ascii="Verdana" w:hAnsi="Verdana" w:cs="Arial"/>
        </w:rPr>
        <w:t xml:space="preserve"> </w:t>
      </w:r>
      <w:r w:rsidRPr="007413C1">
        <w:rPr>
          <w:rFonts w:ascii="Verdana" w:hAnsi="Verdana" w:cs="Arial"/>
        </w:rPr>
        <w:t xml:space="preserve">ORGANICA MUNICIPAL PARA EL ESTADO DE GUANAJUATO </w:t>
      </w:r>
    </w:p>
    <w:p w:rsidR="007B292E" w:rsidRPr="007413C1" w:rsidRDefault="007B292E" w:rsidP="007B292E">
      <w:pPr>
        <w:tabs>
          <w:tab w:val="left" w:pos="0"/>
        </w:tabs>
        <w:spacing w:after="0" w:line="360" w:lineRule="auto"/>
        <w:ind w:right="20"/>
        <w:jc w:val="both"/>
        <w:outlineLvl w:val="0"/>
        <w:rPr>
          <w:rFonts w:ascii="Verdana" w:hAnsi="Verdana" w:cs="Arial"/>
          <w:b/>
          <w:lang w:val="es-ES"/>
        </w:rPr>
      </w:pPr>
    </w:p>
    <w:p w:rsidR="0058704E" w:rsidRPr="007413C1" w:rsidRDefault="0058704E" w:rsidP="0058704E">
      <w:pPr>
        <w:tabs>
          <w:tab w:val="left" w:pos="0"/>
        </w:tabs>
        <w:spacing w:after="0" w:line="360" w:lineRule="auto"/>
        <w:ind w:right="20"/>
        <w:jc w:val="both"/>
        <w:outlineLvl w:val="0"/>
        <w:rPr>
          <w:rFonts w:ascii="Verdana" w:hAnsi="Verdana" w:cs="Arial"/>
        </w:rPr>
      </w:pPr>
    </w:p>
    <w:p w:rsidR="007B292E" w:rsidRPr="007413C1" w:rsidRDefault="007B292E" w:rsidP="0058704E">
      <w:pPr>
        <w:tabs>
          <w:tab w:val="left" w:pos="0"/>
        </w:tabs>
        <w:spacing w:after="0" w:line="360" w:lineRule="auto"/>
        <w:ind w:right="20"/>
        <w:jc w:val="both"/>
        <w:outlineLvl w:val="0"/>
        <w:rPr>
          <w:rFonts w:ascii="Verdana" w:hAnsi="Verdana" w:cs="Arial"/>
        </w:rPr>
      </w:pPr>
    </w:p>
    <w:p w:rsidR="0058704E" w:rsidRPr="007413C1" w:rsidRDefault="0058704E" w:rsidP="0058704E">
      <w:pPr>
        <w:tabs>
          <w:tab w:val="left" w:pos="0"/>
        </w:tabs>
        <w:spacing w:after="0" w:line="360" w:lineRule="auto"/>
        <w:ind w:right="20"/>
        <w:jc w:val="both"/>
        <w:outlineLvl w:val="0"/>
        <w:rPr>
          <w:rFonts w:ascii="Verdana" w:hAnsi="Verdana" w:cs="Arial"/>
        </w:rPr>
      </w:pPr>
    </w:p>
    <w:p w:rsidR="0058704E" w:rsidRPr="007413C1" w:rsidRDefault="0058704E" w:rsidP="0058704E">
      <w:pPr>
        <w:spacing w:line="360" w:lineRule="auto"/>
        <w:jc w:val="center"/>
        <w:rPr>
          <w:rFonts w:ascii="Verdana" w:hAnsi="Verdana" w:cs="Arial"/>
          <w:b/>
        </w:rPr>
      </w:pPr>
      <w:r w:rsidRPr="007413C1">
        <w:rPr>
          <w:rFonts w:ascii="Verdana" w:hAnsi="Verdana" w:cs="Arial"/>
          <w:b/>
        </w:rPr>
        <w:t>MARCO JURÍDICO APLICABLE</w:t>
      </w:r>
    </w:p>
    <w:p w:rsidR="0058704E" w:rsidRPr="007413C1" w:rsidRDefault="0058704E" w:rsidP="0058704E">
      <w:pPr>
        <w:spacing w:line="360" w:lineRule="auto"/>
        <w:jc w:val="center"/>
        <w:rPr>
          <w:rFonts w:ascii="Verdana" w:hAnsi="Verdana" w:cs="Arial"/>
          <w:b/>
        </w:rPr>
      </w:pPr>
    </w:p>
    <w:p w:rsidR="0058704E" w:rsidRPr="007413C1" w:rsidRDefault="0058704E" w:rsidP="0058704E">
      <w:pPr>
        <w:spacing w:line="360" w:lineRule="auto"/>
        <w:jc w:val="both"/>
        <w:rPr>
          <w:rFonts w:ascii="Verdana" w:hAnsi="Verdana" w:cs="Arial"/>
        </w:rPr>
      </w:pPr>
      <w:r w:rsidRPr="007413C1">
        <w:rPr>
          <w:rFonts w:ascii="Verdana" w:hAnsi="Verdana" w:cs="Arial"/>
        </w:rPr>
        <w:t>Para la eficacia y buena administración de los recursos humanos, materiales y financieros del municipio, es aplicable la siguiente normatividad:</w:t>
      </w:r>
    </w:p>
    <w:p w:rsidR="00011C02" w:rsidRPr="007413C1" w:rsidRDefault="00011C02" w:rsidP="0058704E">
      <w:pPr>
        <w:spacing w:line="360" w:lineRule="auto"/>
        <w:jc w:val="both"/>
        <w:rPr>
          <w:rFonts w:ascii="Verdana" w:hAnsi="Verdana" w:cs="Arial"/>
          <w:b/>
        </w:rPr>
      </w:pPr>
      <w:r w:rsidRPr="007413C1">
        <w:rPr>
          <w:rFonts w:ascii="Verdana" w:hAnsi="Verdana" w:cs="Arial"/>
          <w:b/>
        </w:rPr>
        <w:t>Legislación Federal</w:t>
      </w:r>
    </w:p>
    <w:p w:rsidR="0058704E" w:rsidRPr="007413C1" w:rsidRDefault="0058704E" w:rsidP="0058704E">
      <w:pPr>
        <w:spacing w:line="360" w:lineRule="auto"/>
        <w:jc w:val="both"/>
        <w:rPr>
          <w:rFonts w:ascii="Verdana" w:hAnsi="Verdana" w:cs="Arial"/>
        </w:rPr>
      </w:pPr>
    </w:p>
    <w:p w:rsidR="0058704E" w:rsidRPr="007413C1" w:rsidRDefault="0058704E" w:rsidP="0058704E">
      <w:pPr>
        <w:numPr>
          <w:ilvl w:val="0"/>
          <w:numId w:val="1"/>
        </w:numPr>
        <w:spacing w:after="0" w:line="360" w:lineRule="auto"/>
        <w:jc w:val="both"/>
        <w:rPr>
          <w:rFonts w:ascii="Verdana" w:hAnsi="Verdana" w:cs="Arial"/>
        </w:rPr>
      </w:pPr>
      <w:r w:rsidRPr="007413C1">
        <w:rPr>
          <w:rFonts w:ascii="Verdana" w:hAnsi="Verdana" w:cs="Arial"/>
        </w:rPr>
        <w:t>Constitución Política de los Estados Unidos mexicanos.</w:t>
      </w:r>
    </w:p>
    <w:p w:rsidR="00011C02" w:rsidRPr="007413C1" w:rsidRDefault="00011C02" w:rsidP="0058704E">
      <w:pPr>
        <w:numPr>
          <w:ilvl w:val="0"/>
          <w:numId w:val="1"/>
        </w:numPr>
        <w:spacing w:after="0" w:line="360" w:lineRule="auto"/>
        <w:jc w:val="both"/>
        <w:rPr>
          <w:rFonts w:ascii="Verdana" w:hAnsi="Verdana" w:cs="Arial"/>
        </w:rPr>
      </w:pPr>
      <w:r w:rsidRPr="007413C1">
        <w:rPr>
          <w:rFonts w:ascii="Verdana" w:hAnsi="Verdana" w:cs="Arial"/>
        </w:rPr>
        <w:t>Ley General de Contabilidad Gubernamental</w:t>
      </w:r>
    </w:p>
    <w:p w:rsidR="00011C02" w:rsidRPr="007413C1" w:rsidRDefault="00011C02" w:rsidP="0058704E">
      <w:pPr>
        <w:numPr>
          <w:ilvl w:val="0"/>
          <w:numId w:val="1"/>
        </w:numPr>
        <w:spacing w:after="0" w:line="360" w:lineRule="auto"/>
        <w:jc w:val="both"/>
        <w:rPr>
          <w:rFonts w:ascii="Verdana" w:hAnsi="Verdana" w:cs="Arial"/>
        </w:rPr>
      </w:pPr>
      <w:r w:rsidRPr="007413C1">
        <w:rPr>
          <w:rFonts w:ascii="Verdana" w:hAnsi="Verdana" w:cs="Arial"/>
        </w:rPr>
        <w:t>Ley Federal de Presupuesto y Responsabilidad Hacendaria</w:t>
      </w:r>
    </w:p>
    <w:p w:rsidR="00011C02" w:rsidRPr="007413C1" w:rsidRDefault="00011C02" w:rsidP="0058704E">
      <w:pPr>
        <w:numPr>
          <w:ilvl w:val="0"/>
          <w:numId w:val="1"/>
        </w:numPr>
        <w:spacing w:after="0" w:line="360" w:lineRule="auto"/>
        <w:jc w:val="both"/>
        <w:rPr>
          <w:rFonts w:ascii="Verdana" w:hAnsi="Verdana" w:cs="Arial"/>
        </w:rPr>
      </w:pPr>
      <w:r w:rsidRPr="007413C1">
        <w:rPr>
          <w:rFonts w:ascii="Verdana" w:hAnsi="Verdana" w:cs="Arial"/>
        </w:rPr>
        <w:t>Ley General de Transparencia y Acceso a la Información Pública</w:t>
      </w:r>
    </w:p>
    <w:p w:rsidR="00011C02" w:rsidRPr="007413C1" w:rsidRDefault="00011C02" w:rsidP="0058704E">
      <w:pPr>
        <w:numPr>
          <w:ilvl w:val="0"/>
          <w:numId w:val="1"/>
        </w:numPr>
        <w:spacing w:after="0" w:line="360" w:lineRule="auto"/>
        <w:jc w:val="both"/>
        <w:rPr>
          <w:rFonts w:ascii="Verdana" w:hAnsi="Verdana" w:cs="Arial"/>
        </w:rPr>
      </w:pPr>
      <w:r w:rsidRPr="007413C1">
        <w:rPr>
          <w:rFonts w:ascii="Verdana" w:hAnsi="Verdana" w:cs="Arial"/>
        </w:rPr>
        <w:t>Ley de Disciplina Financiera de las Entidades Federativas y los Municipios</w:t>
      </w:r>
    </w:p>
    <w:p w:rsidR="00011C02" w:rsidRPr="007413C1" w:rsidRDefault="00011C02" w:rsidP="00011C02">
      <w:pPr>
        <w:spacing w:after="0" w:line="360" w:lineRule="auto"/>
        <w:jc w:val="both"/>
        <w:rPr>
          <w:rFonts w:ascii="Verdana" w:hAnsi="Verdana" w:cs="Arial"/>
          <w:b/>
        </w:rPr>
      </w:pPr>
      <w:r w:rsidRPr="007413C1">
        <w:rPr>
          <w:rFonts w:ascii="Verdana" w:hAnsi="Verdana" w:cs="Arial"/>
          <w:b/>
        </w:rPr>
        <w:t>Legislación Local</w:t>
      </w:r>
    </w:p>
    <w:p w:rsidR="00011C02" w:rsidRPr="007413C1" w:rsidRDefault="00011C02" w:rsidP="00011C02">
      <w:pPr>
        <w:spacing w:after="0" w:line="360" w:lineRule="auto"/>
        <w:jc w:val="both"/>
        <w:rPr>
          <w:rFonts w:ascii="Verdana" w:hAnsi="Verdana" w:cs="Arial"/>
        </w:rPr>
      </w:pPr>
    </w:p>
    <w:p w:rsidR="0058704E" w:rsidRPr="007413C1" w:rsidRDefault="0058704E" w:rsidP="0058704E">
      <w:pPr>
        <w:numPr>
          <w:ilvl w:val="0"/>
          <w:numId w:val="1"/>
        </w:numPr>
        <w:spacing w:after="0" w:line="360" w:lineRule="auto"/>
        <w:jc w:val="both"/>
        <w:rPr>
          <w:rFonts w:ascii="Verdana" w:hAnsi="Verdana" w:cs="Arial"/>
        </w:rPr>
      </w:pPr>
      <w:r w:rsidRPr="007413C1">
        <w:rPr>
          <w:rFonts w:ascii="Verdana" w:hAnsi="Verdana" w:cs="Arial"/>
        </w:rPr>
        <w:t>Constitución Política del Estado de Guanajuato.</w:t>
      </w:r>
    </w:p>
    <w:p w:rsidR="0058704E" w:rsidRPr="007413C1" w:rsidRDefault="0058704E" w:rsidP="0058704E">
      <w:pPr>
        <w:numPr>
          <w:ilvl w:val="0"/>
          <w:numId w:val="1"/>
        </w:numPr>
        <w:spacing w:after="0" w:line="360" w:lineRule="auto"/>
        <w:jc w:val="both"/>
        <w:rPr>
          <w:rFonts w:ascii="Verdana" w:hAnsi="Verdana" w:cs="Arial"/>
        </w:rPr>
      </w:pPr>
      <w:r w:rsidRPr="007413C1">
        <w:rPr>
          <w:rFonts w:ascii="Verdana" w:hAnsi="Verdana" w:cs="Arial"/>
        </w:rPr>
        <w:t xml:space="preserve">Ley Orgánica </w:t>
      </w:r>
      <w:r w:rsidR="007B292E" w:rsidRPr="007413C1">
        <w:rPr>
          <w:rFonts w:ascii="Verdana" w:hAnsi="Verdana" w:cs="Arial"/>
        </w:rPr>
        <w:t xml:space="preserve">Municipal </w:t>
      </w:r>
      <w:r w:rsidRPr="007413C1">
        <w:rPr>
          <w:rFonts w:ascii="Verdana" w:hAnsi="Verdana" w:cs="Arial"/>
        </w:rPr>
        <w:t>para el Estado de Guanajuato.</w:t>
      </w:r>
    </w:p>
    <w:p w:rsidR="00011C02" w:rsidRPr="007413C1" w:rsidRDefault="00011C02" w:rsidP="0058704E">
      <w:pPr>
        <w:numPr>
          <w:ilvl w:val="0"/>
          <w:numId w:val="1"/>
        </w:numPr>
        <w:spacing w:after="0" w:line="360" w:lineRule="auto"/>
        <w:jc w:val="both"/>
        <w:rPr>
          <w:rFonts w:ascii="Verdana" w:hAnsi="Verdana" w:cs="Arial"/>
        </w:rPr>
      </w:pPr>
      <w:r w:rsidRPr="007413C1">
        <w:rPr>
          <w:rFonts w:ascii="Verdana" w:hAnsi="Verdana" w:cs="Arial"/>
        </w:rPr>
        <w:t>Ley para el Ejercicio y Control de los Recursos Públicos para el Estado y los Municipios de Guanajuato</w:t>
      </w:r>
    </w:p>
    <w:p w:rsidR="00011C02" w:rsidRPr="007413C1" w:rsidRDefault="00011C02" w:rsidP="00011C02">
      <w:pPr>
        <w:numPr>
          <w:ilvl w:val="0"/>
          <w:numId w:val="1"/>
        </w:numPr>
        <w:spacing w:after="0" w:line="360" w:lineRule="auto"/>
        <w:jc w:val="both"/>
        <w:rPr>
          <w:rFonts w:ascii="Verdana" w:hAnsi="Verdana" w:cs="Arial"/>
        </w:rPr>
      </w:pPr>
      <w:r w:rsidRPr="007413C1">
        <w:rPr>
          <w:rFonts w:ascii="Verdana" w:hAnsi="Verdana" w:cs="Arial"/>
        </w:rPr>
        <w:t>Ley de Fiscalización Superior del Estado de Guanajuato</w:t>
      </w:r>
    </w:p>
    <w:p w:rsidR="00011C02" w:rsidRPr="007413C1" w:rsidRDefault="00D66A14" w:rsidP="0058704E">
      <w:pPr>
        <w:numPr>
          <w:ilvl w:val="0"/>
          <w:numId w:val="1"/>
        </w:numPr>
        <w:spacing w:after="0" w:line="360" w:lineRule="auto"/>
        <w:jc w:val="both"/>
        <w:rPr>
          <w:rFonts w:ascii="Verdana" w:hAnsi="Verdana" w:cs="Arial"/>
        </w:rPr>
      </w:pPr>
      <w:r w:rsidRPr="007413C1">
        <w:rPr>
          <w:rFonts w:ascii="Verdana" w:hAnsi="Verdana" w:cs="Arial"/>
        </w:rPr>
        <w:t>Ley de Planeación para el Estado de Guanajuato</w:t>
      </w:r>
    </w:p>
    <w:p w:rsidR="00D66A14" w:rsidRPr="007413C1" w:rsidRDefault="00D66A14" w:rsidP="0058704E">
      <w:pPr>
        <w:numPr>
          <w:ilvl w:val="0"/>
          <w:numId w:val="1"/>
        </w:numPr>
        <w:spacing w:after="0" w:line="360" w:lineRule="auto"/>
        <w:jc w:val="both"/>
        <w:rPr>
          <w:rFonts w:ascii="Verdana" w:hAnsi="Verdana" w:cs="Arial"/>
        </w:rPr>
      </w:pPr>
      <w:r w:rsidRPr="007413C1">
        <w:rPr>
          <w:rFonts w:ascii="Verdana" w:hAnsi="Verdana" w:cs="Arial"/>
        </w:rPr>
        <w:t>Ley orgánica del Poder Ejecutivo para el Estado Libre y Soberano de Guanajuato</w:t>
      </w:r>
    </w:p>
    <w:p w:rsidR="00D66A14" w:rsidRPr="007413C1" w:rsidRDefault="00D66A14" w:rsidP="00D66A14">
      <w:pPr>
        <w:numPr>
          <w:ilvl w:val="0"/>
          <w:numId w:val="1"/>
        </w:numPr>
        <w:spacing w:after="0" w:line="360" w:lineRule="auto"/>
        <w:jc w:val="both"/>
        <w:rPr>
          <w:rFonts w:ascii="Verdana" w:hAnsi="Verdana" w:cs="Arial"/>
        </w:rPr>
      </w:pPr>
      <w:r w:rsidRPr="007413C1">
        <w:rPr>
          <w:rFonts w:ascii="Verdana" w:hAnsi="Verdana" w:cs="Arial"/>
        </w:rPr>
        <w:t>Ley de Adquisiciones, enajenaciones, Arrendamiento y Contratación de Servicios del Sector Publico en el Estado de Guanajuato</w:t>
      </w:r>
    </w:p>
    <w:p w:rsidR="0058704E" w:rsidRPr="007413C1" w:rsidRDefault="00D66A14" w:rsidP="0058704E">
      <w:pPr>
        <w:numPr>
          <w:ilvl w:val="0"/>
          <w:numId w:val="1"/>
        </w:numPr>
        <w:spacing w:after="0" w:line="360" w:lineRule="auto"/>
        <w:jc w:val="both"/>
        <w:rPr>
          <w:rFonts w:ascii="Verdana" w:hAnsi="Verdana" w:cs="Arial"/>
        </w:rPr>
      </w:pPr>
      <w:r w:rsidRPr="007413C1">
        <w:rPr>
          <w:rFonts w:ascii="Verdana" w:hAnsi="Verdana" w:cs="Arial"/>
        </w:rPr>
        <w:t>Ley de Patrimonio Inmobiliario para el Estado de Guanajuato</w:t>
      </w:r>
    </w:p>
    <w:p w:rsidR="0058704E" w:rsidRPr="007413C1" w:rsidRDefault="0058704E" w:rsidP="0058704E">
      <w:pPr>
        <w:numPr>
          <w:ilvl w:val="0"/>
          <w:numId w:val="1"/>
        </w:numPr>
        <w:spacing w:after="0" w:line="360" w:lineRule="auto"/>
        <w:jc w:val="both"/>
        <w:rPr>
          <w:rFonts w:ascii="Verdana" w:hAnsi="Verdana" w:cs="Arial"/>
        </w:rPr>
      </w:pPr>
      <w:r w:rsidRPr="007413C1">
        <w:rPr>
          <w:rFonts w:ascii="Verdana" w:hAnsi="Verdana" w:cs="Arial"/>
        </w:rPr>
        <w:t>Ley de Hacienda para el estado de Guanajuato</w:t>
      </w:r>
    </w:p>
    <w:p w:rsidR="0058704E" w:rsidRPr="007413C1" w:rsidRDefault="0058704E" w:rsidP="0058704E">
      <w:pPr>
        <w:numPr>
          <w:ilvl w:val="0"/>
          <w:numId w:val="1"/>
        </w:numPr>
        <w:spacing w:after="0" w:line="360" w:lineRule="auto"/>
        <w:jc w:val="both"/>
        <w:rPr>
          <w:rFonts w:ascii="Verdana" w:hAnsi="Verdana" w:cs="Arial"/>
        </w:rPr>
      </w:pPr>
      <w:r w:rsidRPr="007413C1">
        <w:rPr>
          <w:rFonts w:ascii="Verdana" w:hAnsi="Verdana" w:cs="Arial"/>
        </w:rPr>
        <w:t>Ley de Transparencia y Acceso a la Información Pública del Estado de Guanajuato y sus Municipios.</w:t>
      </w:r>
    </w:p>
    <w:p w:rsidR="00D66A14" w:rsidRPr="007413C1" w:rsidRDefault="00D66A14" w:rsidP="0058704E">
      <w:pPr>
        <w:numPr>
          <w:ilvl w:val="0"/>
          <w:numId w:val="1"/>
        </w:numPr>
        <w:spacing w:after="0" w:line="360" w:lineRule="auto"/>
        <w:jc w:val="both"/>
        <w:rPr>
          <w:rFonts w:ascii="Verdana" w:hAnsi="Verdana" w:cs="Arial"/>
        </w:rPr>
      </w:pPr>
      <w:r w:rsidRPr="007413C1">
        <w:rPr>
          <w:rFonts w:ascii="Verdana" w:hAnsi="Verdana" w:cs="Arial"/>
        </w:rPr>
        <w:t xml:space="preserve">Ley de protección de Datos Personales para el Estado y los municipios de Guanajuato </w:t>
      </w:r>
    </w:p>
    <w:p w:rsidR="0058704E" w:rsidRPr="007413C1" w:rsidRDefault="0058704E" w:rsidP="0058704E">
      <w:pPr>
        <w:numPr>
          <w:ilvl w:val="0"/>
          <w:numId w:val="1"/>
        </w:numPr>
        <w:spacing w:after="0" w:line="360" w:lineRule="auto"/>
        <w:jc w:val="both"/>
        <w:rPr>
          <w:rFonts w:ascii="Verdana" w:hAnsi="Verdana" w:cs="Arial"/>
        </w:rPr>
      </w:pPr>
      <w:r w:rsidRPr="007413C1">
        <w:rPr>
          <w:rFonts w:ascii="Verdana" w:hAnsi="Verdana" w:cs="Arial"/>
        </w:rPr>
        <w:t>Ley de Ingresos para el Municipio de Santa Cruz de Juventino Rosas Guanajuato, vigente.</w:t>
      </w:r>
    </w:p>
    <w:p w:rsidR="0058704E" w:rsidRPr="007413C1" w:rsidRDefault="0058704E" w:rsidP="0058704E">
      <w:pPr>
        <w:numPr>
          <w:ilvl w:val="0"/>
          <w:numId w:val="1"/>
        </w:numPr>
        <w:spacing w:after="0" w:line="360" w:lineRule="auto"/>
        <w:jc w:val="both"/>
        <w:rPr>
          <w:rFonts w:ascii="Verdana" w:hAnsi="Verdana" w:cs="Arial"/>
        </w:rPr>
      </w:pPr>
      <w:r w:rsidRPr="007413C1">
        <w:rPr>
          <w:rFonts w:ascii="Verdana" w:hAnsi="Verdana" w:cs="Arial"/>
        </w:rPr>
        <w:t>Presupuesto de Egresos para el Municipio de Santa Cruz de Juventino Rosas Guanajuato vigente.</w:t>
      </w:r>
    </w:p>
    <w:p w:rsidR="0058704E" w:rsidRPr="007413C1" w:rsidRDefault="0058704E" w:rsidP="0058704E">
      <w:pPr>
        <w:numPr>
          <w:ilvl w:val="0"/>
          <w:numId w:val="1"/>
        </w:numPr>
        <w:spacing w:after="0" w:line="360" w:lineRule="auto"/>
        <w:jc w:val="both"/>
        <w:rPr>
          <w:rFonts w:ascii="Verdana" w:hAnsi="Verdana" w:cs="Arial"/>
          <w:color w:val="000000"/>
        </w:rPr>
      </w:pPr>
      <w:r w:rsidRPr="007413C1">
        <w:rPr>
          <w:rFonts w:ascii="Verdana" w:hAnsi="Verdana" w:cs="Arial"/>
          <w:color w:val="000000"/>
        </w:rPr>
        <w:t>Lineamientos Generales de Racionalidad, Austeridad y Disciplina Presupuestal del Municipio de Santa Cruz de Juventino Rosas, Guanajuato, Ejercicio Fiscal vigente.</w:t>
      </w:r>
    </w:p>
    <w:p w:rsidR="0058704E" w:rsidRPr="007413C1" w:rsidRDefault="0058704E" w:rsidP="0058704E">
      <w:pPr>
        <w:pStyle w:val="Prrafodelista"/>
        <w:numPr>
          <w:ilvl w:val="0"/>
          <w:numId w:val="1"/>
        </w:numPr>
        <w:spacing w:line="360" w:lineRule="auto"/>
        <w:contextualSpacing/>
        <w:rPr>
          <w:rFonts w:ascii="Verdana" w:hAnsi="Verdana" w:cs="Arial"/>
          <w:color w:val="000000"/>
          <w:sz w:val="22"/>
          <w:szCs w:val="22"/>
        </w:rPr>
      </w:pPr>
      <w:r w:rsidRPr="007413C1">
        <w:rPr>
          <w:rFonts w:ascii="Verdana" w:hAnsi="Verdana" w:cs="Arial"/>
          <w:color w:val="000000"/>
          <w:sz w:val="22"/>
          <w:szCs w:val="22"/>
        </w:rPr>
        <w:t>Y demás ordenamientos legales aplicables.</w:t>
      </w:r>
    </w:p>
    <w:p w:rsidR="00EC2225" w:rsidRPr="007413C1" w:rsidRDefault="00EC2225" w:rsidP="00EC2225">
      <w:pPr>
        <w:spacing w:line="360" w:lineRule="auto"/>
        <w:ind w:left="360"/>
        <w:contextualSpacing/>
        <w:rPr>
          <w:rFonts w:ascii="Verdana" w:hAnsi="Verdana" w:cs="Arial"/>
          <w:color w:val="000000"/>
        </w:rPr>
      </w:pPr>
    </w:p>
    <w:p w:rsidR="0058704E" w:rsidRPr="007413C1" w:rsidRDefault="0058704E" w:rsidP="0058704E">
      <w:pPr>
        <w:spacing w:line="360" w:lineRule="auto"/>
        <w:contextualSpacing/>
        <w:rPr>
          <w:rFonts w:ascii="Verdana" w:hAnsi="Verdana" w:cs="Arial"/>
          <w:color w:val="000000"/>
        </w:rPr>
      </w:pPr>
    </w:p>
    <w:p w:rsidR="003D3C8E" w:rsidRPr="007413C1" w:rsidRDefault="0058704E" w:rsidP="008A5225">
      <w:pPr>
        <w:spacing w:line="360" w:lineRule="auto"/>
        <w:contextualSpacing/>
        <w:jc w:val="center"/>
        <w:rPr>
          <w:rFonts w:ascii="Verdana" w:hAnsi="Verdana" w:cs="Arial"/>
          <w:b/>
          <w:color w:val="000000"/>
        </w:rPr>
      </w:pPr>
      <w:r w:rsidRPr="007413C1">
        <w:rPr>
          <w:rFonts w:ascii="Verdana" w:hAnsi="Verdana"/>
          <w:b/>
          <w:noProof/>
        </w:rPr>
        <w:lastRenderedPageBreak/>
        <w:drawing>
          <wp:anchor distT="0" distB="0" distL="114300" distR="114300" simplePos="0" relativeHeight="251659264" behindDoc="1" locked="0" layoutInCell="1" allowOverlap="1" wp14:anchorId="47925C47" wp14:editId="54EAE3F0">
            <wp:simplePos x="0" y="0"/>
            <wp:positionH relativeFrom="column">
              <wp:posOffset>-1061085</wp:posOffset>
            </wp:positionH>
            <wp:positionV relativeFrom="paragraph">
              <wp:posOffset>243205</wp:posOffset>
            </wp:positionV>
            <wp:extent cx="7058660" cy="4838700"/>
            <wp:effectExtent l="0" t="0" r="8890" b="0"/>
            <wp:wrapThrough wrapText="bothSides">
              <wp:wrapPolygon edited="0">
                <wp:start x="0" y="0"/>
                <wp:lineTo x="0" y="21515"/>
                <wp:lineTo x="21569" y="21515"/>
                <wp:lineTo x="2156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58660" cy="483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4E9" w:rsidRPr="007413C1">
        <w:rPr>
          <w:rFonts w:ascii="Verdana" w:hAnsi="Verdana" w:cs="Arial"/>
          <w:b/>
          <w:color w:val="000000"/>
        </w:rPr>
        <w:t>ORGANIGRAMA DE LA TESORERÍA MUNICIPAL</w:t>
      </w:r>
    </w:p>
    <w:p w:rsidR="003D3C8E" w:rsidRPr="007413C1" w:rsidRDefault="003D3C8E" w:rsidP="007B292E">
      <w:pPr>
        <w:spacing w:line="360" w:lineRule="auto"/>
        <w:contextualSpacing/>
        <w:jc w:val="center"/>
        <w:rPr>
          <w:rFonts w:ascii="Verdana" w:hAnsi="Verdana" w:cs="Arial"/>
          <w:b/>
          <w:color w:val="000000"/>
        </w:rPr>
      </w:pPr>
    </w:p>
    <w:p w:rsidR="003D3C8E" w:rsidRPr="007413C1" w:rsidRDefault="003D3C8E" w:rsidP="007B292E">
      <w:pPr>
        <w:spacing w:line="360" w:lineRule="auto"/>
        <w:contextualSpacing/>
        <w:jc w:val="center"/>
        <w:rPr>
          <w:rFonts w:ascii="Verdana" w:hAnsi="Verdana" w:cs="Arial"/>
          <w:b/>
          <w:color w:val="000000"/>
        </w:rPr>
      </w:pPr>
    </w:p>
    <w:p w:rsidR="007413C1" w:rsidRDefault="007413C1" w:rsidP="007B292E">
      <w:pPr>
        <w:spacing w:line="360" w:lineRule="auto"/>
        <w:contextualSpacing/>
        <w:jc w:val="center"/>
        <w:rPr>
          <w:rFonts w:ascii="Verdana" w:hAnsi="Verdana" w:cs="Arial"/>
          <w:b/>
          <w:color w:val="000000"/>
        </w:rPr>
      </w:pPr>
    </w:p>
    <w:p w:rsidR="007413C1" w:rsidRDefault="007413C1" w:rsidP="007B292E">
      <w:pPr>
        <w:spacing w:line="360" w:lineRule="auto"/>
        <w:contextualSpacing/>
        <w:jc w:val="center"/>
        <w:rPr>
          <w:rFonts w:ascii="Verdana" w:hAnsi="Verdana" w:cs="Arial"/>
          <w:b/>
          <w:color w:val="000000"/>
        </w:rPr>
      </w:pPr>
    </w:p>
    <w:p w:rsidR="007413C1" w:rsidRDefault="007413C1" w:rsidP="007B292E">
      <w:pPr>
        <w:spacing w:line="360" w:lineRule="auto"/>
        <w:contextualSpacing/>
        <w:jc w:val="center"/>
        <w:rPr>
          <w:rFonts w:ascii="Verdana" w:hAnsi="Verdana" w:cs="Arial"/>
          <w:b/>
          <w:color w:val="000000"/>
        </w:rPr>
      </w:pPr>
    </w:p>
    <w:p w:rsidR="007413C1" w:rsidRDefault="007413C1" w:rsidP="007B292E">
      <w:pPr>
        <w:spacing w:line="360" w:lineRule="auto"/>
        <w:contextualSpacing/>
        <w:jc w:val="center"/>
        <w:rPr>
          <w:rFonts w:ascii="Verdana" w:hAnsi="Verdana" w:cs="Arial"/>
          <w:b/>
          <w:color w:val="000000"/>
        </w:rPr>
      </w:pPr>
    </w:p>
    <w:p w:rsidR="007413C1" w:rsidRDefault="007413C1" w:rsidP="007B292E">
      <w:pPr>
        <w:spacing w:line="360" w:lineRule="auto"/>
        <w:contextualSpacing/>
        <w:jc w:val="center"/>
        <w:rPr>
          <w:rFonts w:ascii="Verdana" w:hAnsi="Verdana" w:cs="Arial"/>
          <w:b/>
          <w:color w:val="000000"/>
        </w:rPr>
      </w:pPr>
    </w:p>
    <w:p w:rsidR="007413C1" w:rsidRDefault="007413C1" w:rsidP="007B292E">
      <w:pPr>
        <w:spacing w:line="360" w:lineRule="auto"/>
        <w:contextualSpacing/>
        <w:jc w:val="center"/>
        <w:rPr>
          <w:rFonts w:ascii="Verdana" w:hAnsi="Verdana" w:cs="Arial"/>
          <w:b/>
          <w:color w:val="000000"/>
        </w:rPr>
      </w:pPr>
    </w:p>
    <w:p w:rsidR="007413C1" w:rsidRDefault="007413C1" w:rsidP="007B292E">
      <w:pPr>
        <w:spacing w:line="360" w:lineRule="auto"/>
        <w:contextualSpacing/>
        <w:jc w:val="center"/>
        <w:rPr>
          <w:rFonts w:ascii="Verdana" w:hAnsi="Verdana" w:cs="Arial"/>
          <w:b/>
          <w:color w:val="000000"/>
        </w:rPr>
      </w:pPr>
    </w:p>
    <w:p w:rsidR="007413C1" w:rsidRDefault="007413C1" w:rsidP="007B292E">
      <w:pPr>
        <w:spacing w:line="360" w:lineRule="auto"/>
        <w:contextualSpacing/>
        <w:jc w:val="center"/>
        <w:rPr>
          <w:rFonts w:ascii="Verdana" w:hAnsi="Verdana" w:cs="Arial"/>
          <w:b/>
          <w:color w:val="000000"/>
        </w:rPr>
      </w:pPr>
    </w:p>
    <w:p w:rsidR="007413C1" w:rsidRDefault="007413C1" w:rsidP="007B292E">
      <w:pPr>
        <w:spacing w:line="360" w:lineRule="auto"/>
        <w:contextualSpacing/>
        <w:jc w:val="center"/>
        <w:rPr>
          <w:rFonts w:ascii="Verdana" w:hAnsi="Verdana" w:cs="Arial"/>
          <w:b/>
          <w:color w:val="000000"/>
        </w:rPr>
      </w:pPr>
    </w:p>
    <w:p w:rsidR="007413C1" w:rsidRDefault="007413C1" w:rsidP="007B292E">
      <w:pPr>
        <w:spacing w:line="360" w:lineRule="auto"/>
        <w:contextualSpacing/>
        <w:jc w:val="center"/>
        <w:rPr>
          <w:rFonts w:ascii="Verdana" w:hAnsi="Verdana" w:cs="Arial"/>
          <w:b/>
          <w:color w:val="000000"/>
        </w:rPr>
      </w:pPr>
    </w:p>
    <w:p w:rsidR="007413C1" w:rsidRDefault="007413C1" w:rsidP="007B292E">
      <w:pPr>
        <w:spacing w:line="360" w:lineRule="auto"/>
        <w:contextualSpacing/>
        <w:jc w:val="center"/>
        <w:rPr>
          <w:rFonts w:ascii="Verdana" w:hAnsi="Verdana" w:cs="Arial"/>
          <w:b/>
          <w:color w:val="000000"/>
        </w:rPr>
      </w:pPr>
    </w:p>
    <w:p w:rsidR="0058704E" w:rsidRPr="007413C1" w:rsidRDefault="007B292E" w:rsidP="007B292E">
      <w:pPr>
        <w:spacing w:line="360" w:lineRule="auto"/>
        <w:contextualSpacing/>
        <w:jc w:val="center"/>
        <w:rPr>
          <w:rFonts w:ascii="Verdana" w:hAnsi="Verdana" w:cs="Arial"/>
          <w:b/>
          <w:color w:val="000000"/>
        </w:rPr>
      </w:pPr>
      <w:r w:rsidRPr="007413C1">
        <w:rPr>
          <w:rFonts w:ascii="Verdana" w:hAnsi="Verdana" w:cs="Arial"/>
          <w:b/>
          <w:color w:val="000000"/>
        </w:rPr>
        <w:t>IDENTIFICACIÓN Y DESCRIPCIÓN DEL PROBLEMA</w:t>
      </w:r>
    </w:p>
    <w:p w:rsidR="00B464FF" w:rsidRPr="007413C1" w:rsidRDefault="00B464FF" w:rsidP="007B292E">
      <w:pPr>
        <w:spacing w:line="360" w:lineRule="auto"/>
        <w:contextualSpacing/>
        <w:jc w:val="center"/>
        <w:rPr>
          <w:rFonts w:ascii="Verdana" w:hAnsi="Verdana" w:cs="Arial"/>
          <w:b/>
          <w:color w:val="000000"/>
        </w:rPr>
      </w:pPr>
    </w:p>
    <w:p w:rsidR="005F6773" w:rsidRPr="007413C1" w:rsidRDefault="005F3645" w:rsidP="00433955">
      <w:pPr>
        <w:spacing w:after="200" w:line="480" w:lineRule="auto"/>
        <w:contextualSpacing/>
        <w:jc w:val="both"/>
        <w:rPr>
          <w:rFonts w:ascii="Verdana" w:hAnsi="Verdana"/>
        </w:rPr>
      </w:pPr>
      <w:r w:rsidRPr="007413C1">
        <w:rPr>
          <w:rFonts w:ascii="Verdana" w:hAnsi="Verdana"/>
        </w:rPr>
        <w:t xml:space="preserve">El municipio de Santa Cruz de Juventino Rosas Gto. Tiene una población de 83,060 habitantes, los cuales el 47% son hombres y el 52.3% son mujeres. de acuerdo con los datos registrados en el intercensal 2015 del INEGI, distribuidos en la cabecera municipal y comunidades rurales.  </w:t>
      </w:r>
    </w:p>
    <w:p w:rsidR="003D3C8E" w:rsidRPr="007413C1" w:rsidRDefault="005F3645" w:rsidP="00433955">
      <w:pPr>
        <w:spacing w:after="200" w:line="480" w:lineRule="auto"/>
        <w:contextualSpacing/>
        <w:jc w:val="both"/>
        <w:rPr>
          <w:rFonts w:ascii="Verdana" w:hAnsi="Verdana"/>
        </w:rPr>
      </w:pPr>
      <w:r w:rsidRPr="007413C1">
        <w:rPr>
          <w:rFonts w:ascii="Verdana" w:hAnsi="Verdana"/>
        </w:rPr>
        <w:t xml:space="preserve">Actualmente el municipio cuenta con la población mencionada a la cual tiene que atender en los distintos servicios que requieren y es a través de la </w:t>
      </w:r>
      <w:r w:rsidR="003D3C8E" w:rsidRPr="007413C1">
        <w:rPr>
          <w:rFonts w:ascii="Verdana" w:hAnsi="Verdana"/>
        </w:rPr>
        <w:t xml:space="preserve">tesorería municipal </w:t>
      </w:r>
      <w:r w:rsidRPr="007413C1">
        <w:rPr>
          <w:rFonts w:ascii="Verdana" w:hAnsi="Verdana"/>
        </w:rPr>
        <w:t>e</w:t>
      </w:r>
      <w:r w:rsidR="003D3C8E" w:rsidRPr="007413C1">
        <w:rPr>
          <w:rFonts w:ascii="Verdana" w:hAnsi="Verdana"/>
        </w:rPr>
        <w:t>s</w:t>
      </w:r>
      <w:r w:rsidRPr="007413C1">
        <w:rPr>
          <w:rFonts w:ascii="Verdana" w:hAnsi="Verdana"/>
        </w:rPr>
        <w:t xml:space="preserve"> </w:t>
      </w:r>
      <w:r w:rsidR="003D3C8E" w:rsidRPr="007413C1">
        <w:rPr>
          <w:rFonts w:ascii="Verdana" w:hAnsi="Verdana"/>
        </w:rPr>
        <w:t xml:space="preserve">que </w:t>
      </w:r>
      <w:r w:rsidRPr="007413C1">
        <w:rPr>
          <w:rFonts w:ascii="Verdana" w:hAnsi="Verdana"/>
        </w:rPr>
        <w:t>se realizan todas las actividades financieras como son pagos, recaudaciones, enlaces de convenios con el sector estatal y federal, así como las acciones financieras de los 31 departamentos internos y paramunicipales</w:t>
      </w:r>
      <w:r w:rsidR="008A5225" w:rsidRPr="007413C1">
        <w:rPr>
          <w:rFonts w:ascii="Verdana" w:hAnsi="Verdana"/>
        </w:rPr>
        <w:t>,</w:t>
      </w:r>
      <w:r w:rsidRPr="007413C1">
        <w:rPr>
          <w:rFonts w:ascii="Verdana" w:hAnsi="Verdana"/>
        </w:rPr>
        <w:t xml:space="preserve"> </w:t>
      </w:r>
      <w:r w:rsidR="003D3C8E" w:rsidRPr="007413C1">
        <w:rPr>
          <w:rFonts w:ascii="Verdana" w:hAnsi="Verdana"/>
        </w:rPr>
        <w:t xml:space="preserve">aunado a que tiene la obligación de capturar, procesar, integrar, generar todos los </w:t>
      </w:r>
      <w:r w:rsidR="009448C1" w:rsidRPr="007413C1">
        <w:rPr>
          <w:rFonts w:ascii="Verdana" w:hAnsi="Verdana"/>
        </w:rPr>
        <w:t>estados financieros pertinentes según la ley lo determina.</w:t>
      </w:r>
    </w:p>
    <w:p w:rsidR="005F3645" w:rsidRPr="007413C1" w:rsidRDefault="005F3645" w:rsidP="005F3645">
      <w:pPr>
        <w:spacing w:after="200" w:line="276" w:lineRule="auto"/>
        <w:contextualSpacing/>
        <w:jc w:val="both"/>
        <w:rPr>
          <w:rFonts w:ascii="Verdana" w:hAnsi="Verdana" w:cs="Times New Roman"/>
        </w:rPr>
      </w:pPr>
      <w:r w:rsidRPr="007413C1">
        <w:rPr>
          <w:rFonts w:ascii="Verdana" w:hAnsi="Verdana"/>
        </w:rPr>
        <w:t xml:space="preserve"> </w:t>
      </w:r>
    </w:p>
    <w:p w:rsidR="005F6773" w:rsidRPr="007413C1" w:rsidRDefault="007B292E" w:rsidP="008506AA">
      <w:pPr>
        <w:spacing w:after="0" w:line="360" w:lineRule="auto"/>
        <w:jc w:val="both"/>
        <w:rPr>
          <w:rFonts w:ascii="Verdana" w:hAnsi="Verdana" w:cs="Arial"/>
        </w:rPr>
      </w:pPr>
      <w:r w:rsidRPr="007413C1">
        <w:rPr>
          <w:rFonts w:ascii="Verdana" w:hAnsi="Verdana" w:cs="Arial"/>
          <w:color w:val="000000"/>
        </w:rPr>
        <w:t>Dentro de las funciones, atribuciones y obligaciones de la tesorería municipal encontramos la integración de la Cuenta Pública anual y los informes financieros trimestrales</w:t>
      </w:r>
      <w:r w:rsidR="005F6773" w:rsidRPr="007413C1">
        <w:rPr>
          <w:rFonts w:ascii="Verdana" w:hAnsi="Verdana" w:cs="Arial"/>
          <w:color w:val="000000"/>
        </w:rPr>
        <w:t>,</w:t>
      </w:r>
      <w:r w:rsidRPr="007413C1">
        <w:rPr>
          <w:rFonts w:ascii="Verdana" w:hAnsi="Verdana" w:cs="Arial"/>
          <w:color w:val="000000"/>
        </w:rPr>
        <w:t xml:space="preserve"> los cuales deberán remitirse a los entes fiscalizadores para su debida revisión, además de publicar dicha información en la </w:t>
      </w:r>
      <w:r w:rsidR="005F6773" w:rsidRPr="007413C1">
        <w:rPr>
          <w:rFonts w:ascii="Verdana" w:hAnsi="Verdana" w:cs="Arial"/>
          <w:color w:val="000000"/>
        </w:rPr>
        <w:t>página</w:t>
      </w:r>
      <w:r w:rsidRPr="007413C1">
        <w:rPr>
          <w:rFonts w:ascii="Verdana" w:hAnsi="Verdana" w:cs="Arial"/>
          <w:color w:val="000000"/>
        </w:rPr>
        <w:t xml:space="preserve"> oficial del municipio con las debidas características que estipula el CONAC </w:t>
      </w:r>
      <w:r w:rsidR="005F6773" w:rsidRPr="007413C1">
        <w:rPr>
          <w:rFonts w:ascii="Verdana" w:hAnsi="Verdana" w:cs="Arial"/>
          <w:color w:val="000000"/>
        </w:rPr>
        <w:t>y la</w:t>
      </w:r>
      <w:r w:rsidR="005F6773" w:rsidRPr="007413C1">
        <w:rPr>
          <w:rFonts w:ascii="Verdana" w:hAnsi="Verdana" w:cs="Arial"/>
        </w:rPr>
        <w:t xml:space="preserve"> Ley de Transparencia y Acceso a la Información Pública del Estado de Guanajuato y sus Municipios.</w:t>
      </w:r>
    </w:p>
    <w:p w:rsidR="005F6773" w:rsidRPr="007413C1" w:rsidRDefault="005F6773" w:rsidP="008506AA">
      <w:pPr>
        <w:spacing w:after="0" w:line="360" w:lineRule="auto"/>
        <w:jc w:val="both"/>
        <w:rPr>
          <w:rFonts w:ascii="Verdana" w:hAnsi="Verdana" w:cs="Arial"/>
        </w:rPr>
      </w:pPr>
      <w:r w:rsidRPr="007413C1">
        <w:rPr>
          <w:rFonts w:ascii="Verdana" w:hAnsi="Verdana" w:cs="Arial"/>
        </w:rPr>
        <w:t>Cabe destacar que la información que se entrega deberá ser formulada en base a los formatos preestablecidos por la instancia mencionada además que se deberá contar con sistemas informáticos que apoyen con la captura y procesos de la información contable tal cual se solicita.</w:t>
      </w:r>
    </w:p>
    <w:p w:rsidR="005F6773" w:rsidRPr="007413C1" w:rsidRDefault="005F6773" w:rsidP="008506AA">
      <w:pPr>
        <w:spacing w:after="0" w:line="360" w:lineRule="auto"/>
        <w:jc w:val="both"/>
        <w:rPr>
          <w:rFonts w:ascii="Verdana" w:hAnsi="Verdana" w:cs="Arial"/>
        </w:rPr>
      </w:pPr>
      <w:r w:rsidRPr="007413C1">
        <w:rPr>
          <w:rFonts w:ascii="Verdana" w:hAnsi="Verdana" w:cs="Arial"/>
        </w:rPr>
        <w:t xml:space="preserve">El principal problema al que se enfrenta el departamento de tesorería, en particular la coordinación de Cuenta Pública es principalmente a que constantemente se aumentan más formatos con la información contable, </w:t>
      </w:r>
      <w:r w:rsidRPr="007413C1">
        <w:rPr>
          <w:rFonts w:ascii="Verdana" w:hAnsi="Verdana" w:cs="Arial"/>
        </w:rPr>
        <w:lastRenderedPageBreak/>
        <w:t>financiera, presupuestal, de inventarios</w:t>
      </w:r>
      <w:r w:rsidR="008A5225" w:rsidRPr="007413C1">
        <w:rPr>
          <w:rFonts w:ascii="Verdana" w:hAnsi="Verdana" w:cs="Arial"/>
        </w:rPr>
        <w:t>, recursos humanos</w:t>
      </w:r>
      <w:r w:rsidRPr="007413C1">
        <w:rPr>
          <w:rFonts w:ascii="Verdana" w:hAnsi="Verdana" w:cs="Arial"/>
        </w:rPr>
        <w:t xml:space="preserve"> y la solicitada recientemente en la </w:t>
      </w:r>
      <w:r w:rsidR="003E6616" w:rsidRPr="007413C1">
        <w:rPr>
          <w:rFonts w:ascii="Verdana" w:hAnsi="Verdana" w:cs="Arial"/>
        </w:rPr>
        <w:t>denominada Ley</w:t>
      </w:r>
      <w:r w:rsidRPr="007413C1">
        <w:rPr>
          <w:rFonts w:ascii="Verdana" w:hAnsi="Verdana" w:cs="Arial"/>
        </w:rPr>
        <w:t xml:space="preserve"> de Disciplina Financiera.</w:t>
      </w:r>
    </w:p>
    <w:p w:rsidR="003E6616" w:rsidRPr="007413C1" w:rsidRDefault="003E6616" w:rsidP="008506AA">
      <w:pPr>
        <w:spacing w:after="0" w:line="360" w:lineRule="auto"/>
        <w:jc w:val="both"/>
        <w:rPr>
          <w:rFonts w:ascii="Verdana" w:hAnsi="Verdana" w:cs="Helvetica"/>
          <w:shd w:val="clear" w:color="auto" w:fill="FFFFFF"/>
        </w:rPr>
      </w:pPr>
      <w:r w:rsidRPr="007413C1">
        <w:rPr>
          <w:rFonts w:ascii="Verdana" w:hAnsi="Verdana" w:cs="Arial"/>
        </w:rPr>
        <w:t>Sumado a fallas en los sistemas informáticos manipulados por dependencias Estatales y soluciones tardías en</w:t>
      </w:r>
      <w:r w:rsidR="008506AA" w:rsidRPr="007413C1">
        <w:rPr>
          <w:rFonts w:ascii="Verdana" w:hAnsi="Verdana" w:cs="Arial"/>
        </w:rPr>
        <w:t xml:space="preserve"> dichas fallas, </w:t>
      </w:r>
      <w:r w:rsidR="009448C1" w:rsidRPr="007413C1">
        <w:rPr>
          <w:rFonts w:ascii="Verdana" w:hAnsi="Verdana" w:cs="Arial"/>
        </w:rPr>
        <w:t xml:space="preserve">la falta de compromiso de algunos departamentos interinstitucionales que no mantienen la información actualizada a tiempo o está incompleta, estoy detalles generan tardanza en el procesamiento de la contabilidad gubernamental y trae consigo una </w:t>
      </w:r>
      <w:r w:rsidR="008A5225" w:rsidRPr="007413C1">
        <w:rPr>
          <w:rFonts w:ascii="Verdana" w:hAnsi="Verdana" w:cs="Helvetica"/>
          <w:shd w:val="clear" w:color="auto" w:fill="FFFFFF"/>
        </w:rPr>
        <w:t>administración deficiente, una entrega de información a los entes que la solicitan retardado y una publicación de la información a destiempo.</w:t>
      </w:r>
    </w:p>
    <w:p w:rsidR="001C1A36" w:rsidRPr="007413C1" w:rsidRDefault="001C1A36" w:rsidP="008506AA">
      <w:pPr>
        <w:spacing w:after="0" w:line="360" w:lineRule="auto"/>
        <w:jc w:val="both"/>
        <w:rPr>
          <w:rFonts w:ascii="Verdana" w:hAnsi="Verdana" w:cs="Helvetica"/>
          <w:shd w:val="clear" w:color="auto" w:fill="FFFFFF"/>
        </w:rPr>
      </w:pPr>
    </w:p>
    <w:p w:rsidR="001C1A36" w:rsidRPr="007413C1" w:rsidRDefault="001C1A36" w:rsidP="008506AA">
      <w:pPr>
        <w:spacing w:after="0" w:line="360" w:lineRule="auto"/>
        <w:jc w:val="both"/>
        <w:rPr>
          <w:rFonts w:ascii="Verdana" w:hAnsi="Verdana" w:cs="Helvetica"/>
          <w:shd w:val="clear" w:color="auto" w:fill="FFFFFF"/>
        </w:rPr>
      </w:pPr>
    </w:p>
    <w:p w:rsidR="00EE6D1D" w:rsidRPr="007413C1" w:rsidRDefault="00EE6D1D" w:rsidP="001C1A36">
      <w:pPr>
        <w:spacing w:after="0" w:line="360" w:lineRule="auto"/>
        <w:jc w:val="center"/>
        <w:rPr>
          <w:rFonts w:ascii="Verdana" w:hAnsi="Verdana"/>
          <w:b/>
        </w:rPr>
      </w:pPr>
    </w:p>
    <w:p w:rsidR="001C1A36" w:rsidRPr="007413C1" w:rsidRDefault="001C1A36" w:rsidP="001C1A36">
      <w:pPr>
        <w:spacing w:after="0" w:line="360" w:lineRule="auto"/>
        <w:jc w:val="center"/>
        <w:rPr>
          <w:rFonts w:ascii="Verdana" w:hAnsi="Verdana"/>
          <w:b/>
        </w:rPr>
      </w:pPr>
      <w:r w:rsidRPr="007413C1">
        <w:rPr>
          <w:rFonts w:ascii="Verdana" w:hAnsi="Verdana"/>
          <w:b/>
        </w:rPr>
        <w:t>IDENTIFICACIÓN Y ESTADO ACTUAL DEL PROBLEMA</w:t>
      </w:r>
    </w:p>
    <w:p w:rsidR="00444847" w:rsidRPr="007413C1" w:rsidRDefault="00444847" w:rsidP="001C1A36">
      <w:pPr>
        <w:spacing w:after="0" w:line="360" w:lineRule="auto"/>
        <w:jc w:val="center"/>
        <w:rPr>
          <w:rFonts w:ascii="Verdana" w:hAnsi="Verdana"/>
          <w:b/>
        </w:rPr>
      </w:pPr>
    </w:p>
    <w:p w:rsidR="00444847" w:rsidRPr="007413C1" w:rsidRDefault="00444847" w:rsidP="004421C0">
      <w:pPr>
        <w:spacing w:after="0" w:line="360" w:lineRule="auto"/>
        <w:jc w:val="both"/>
        <w:rPr>
          <w:rFonts w:ascii="Verdana" w:hAnsi="Verdana"/>
        </w:rPr>
      </w:pPr>
      <w:r w:rsidRPr="007413C1">
        <w:rPr>
          <w:rFonts w:ascii="Verdana" w:hAnsi="Verdana"/>
        </w:rPr>
        <w:t xml:space="preserve">A partir del </w:t>
      </w:r>
      <w:r w:rsidR="004029F9" w:rsidRPr="007413C1">
        <w:rPr>
          <w:rFonts w:ascii="Verdana" w:hAnsi="Verdana"/>
        </w:rPr>
        <w:t xml:space="preserve">año 2009 se hace obligatorio el cumplimiento a la Ley de Contabilidad </w:t>
      </w:r>
      <w:r w:rsidR="00903E64" w:rsidRPr="007413C1">
        <w:rPr>
          <w:rFonts w:ascii="Verdana" w:hAnsi="Verdana"/>
        </w:rPr>
        <w:t>Gubernamental,</w:t>
      </w:r>
      <w:r w:rsidR="004029F9" w:rsidRPr="007413C1">
        <w:rPr>
          <w:rFonts w:ascii="Verdana" w:hAnsi="Verdana"/>
        </w:rPr>
        <w:t xml:space="preserve"> pero es hasta el ejercicio 2011 que el municipio</w:t>
      </w:r>
      <w:r w:rsidR="00433955" w:rsidRPr="007413C1">
        <w:rPr>
          <w:rFonts w:ascii="Verdana" w:hAnsi="Verdana"/>
        </w:rPr>
        <w:t xml:space="preserve"> de Santa Cruz de Juventino Rosas</w:t>
      </w:r>
      <w:r w:rsidR="004029F9" w:rsidRPr="007413C1">
        <w:rPr>
          <w:rFonts w:ascii="Verdana" w:hAnsi="Verdana"/>
          <w:color w:val="FF0000"/>
        </w:rPr>
        <w:t xml:space="preserve"> </w:t>
      </w:r>
      <w:r w:rsidR="004029F9" w:rsidRPr="007413C1">
        <w:rPr>
          <w:rFonts w:ascii="Verdana" w:hAnsi="Verdana"/>
        </w:rPr>
        <w:t>inicia</w:t>
      </w:r>
      <w:r w:rsidRPr="007413C1">
        <w:rPr>
          <w:rFonts w:ascii="Verdana" w:hAnsi="Verdana"/>
        </w:rPr>
        <w:t xml:space="preserve"> con</w:t>
      </w:r>
      <w:r w:rsidR="004029F9" w:rsidRPr="007413C1">
        <w:rPr>
          <w:rFonts w:ascii="Verdana" w:hAnsi="Verdana"/>
        </w:rPr>
        <w:t xml:space="preserve"> los procesos de</w:t>
      </w:r>
      <w:r w:rsidRPr="007413C1">
        <w:rPr>
          <w:rFonts w:ascii="Verdana" w:hAnsi="Verdana"/>
        </w:rPr>
        <w:t xml:space="preserve"> la </w:t>
      </w:r>
      <w:r w:rsidR="004029F9" w:rsidRPr="007413C1">
        <w:rPr>
          <w:rFonts w:ascii="Verdana" w:hAnsi="Verdana"/>
        </w:rPr>
        <w:t>armonización contable según los criterios del CONAC</w:t>
      </w:r>
      <w:r w:rsidR="00286465" w:rsidRPr="007413C1">
        <w:rPr>
          <w:rFonts w:ascii="Verdana" w:hAnsi="Verdana"/>
        </w:rPr>
        <w:t>,</w:t>
      </w:r>
      <w:r w:rsidR="004029F9" w:rsidRPr="007413C1">
        <w:rPr>
          <w:rFonts w:ascii="Verdana" w:hAnsi="Verdana"/>
        </w:rPr>
        <w:t xml:space="preserve"> auxiliados por el área de Finanzas del Estado de Guanajuato</w:t>
      </w:r>
      <w:r w:rsidR="00286465" w:rsidRPr="007413C1">
        <w:rPr>
          <w:rFonts w:ascii="Verdana" w:hAnsi="Verdana"/>
        </w:rPr>
        <w:t xml:space="preserve"> quienes brindaron la capacitación en el uso del programa electrónico SAP y de los catálogos de cuentas que deberán ser utilizados</w:t>
      </w:r>
      <w:r w:rsidR="00BF1873" w:rsidRPr="007413C1">
        <w:rPr>
          <w:rFonts w:ascii="Verdana" w:hAnsi="Verdana"/>
        </w:rPr>
        <w:t xml:space="preserve"> siguiendo la normativa aplicable</w:t>
      </w:r>
      <w:r w:rsidR="00286465" w:rsidRPr="007413C1">
        <w:rPr>
          <w:rFonts w:ascii="Verdana" w:hAnsi="Verdana"/>
        </w:rPr>
        <w:t>, así como de los registros contables que deberán de realizarse con apego a la Ley de Contabilidad Gubernamental.</w:t>
      </w:r>
    </w:p>
    <w:p w:rsidR="00E7680F" w:rsidRPr="007413C1" w:rsidRDefault="00E7680F" w:rsidP="004421C0">
      <w:pPr>
        <w:spacing w:after="0" w:line="360" w:lineRule="auto"/>
        <w:jc w:val="both"/>
        <w:rPr>
          <w:rFonts w:ascii="Verdana" w:hAnsi="Verdana"/>
        </w:rPr>
      </w:pPr>
      <w:r w:rsidRPr="007413C1">
        <w:rPr>
          <w:rFonts w:ascii="Verdana" w:hAnsi="Verdana"/>
        </w:rPr>
        <w:t xml:space="preserve">En enero de 2012 se inicia </w:t>
      </w:r>
      <w:r w:rsidR="00433955" w:rsidRPr="007413C1">
        <w:rPr>
          <w:rFonts w:ascii="Verdana" w:hAnsi="Verdana"/>
        </w:rPr>
        <w:t xml:space="preserve">por parte de éste municipio </w:t>
      </w:r>
      <w:r w:rsidRPr="007413C1">
        <w:rPr>
          <w:rFonts w:ascii="Verdana" w:hAnsi="Verdana"/>
        </w:rPr>
        <w:t xml:space="preserve">con </w:t>
      </w:r>
      <w:r w:rsidR="004421C0" w:rsidRPr="007413C1">
        <w:rPr>
          <w:rFonts w:ascii="Verdana" w:hAnsi="Verdana"/>
        </w:rPr>
        <w:t>él</w:t>
      </w:r>
      <w:r w:rsidRPr="007413C1">
        <w:rPr>
          <w:rFonts w:ascii="Verdana" w:hAnsi="Verdana"/>
        </w:rPr>
        <w:t xml:space="preserve"> </w:t>
      </w:r>
      <w:r w:rsidR="00DC60EF" w:rsidRPr="007413C1">
        <w:rPr>
          <w:rFonts w:ascii="Verdana" w:hAnsi="Verdana"/>
        </w:rPr>
        <w:t>envió</w:t>
      </w:r>
      <w:r w:rsidRPr="007413C1">
        <w:rPr>
          <w:rFonts w:ascii="Verdana" w:hAnsi="Verdana"/>
        </w:rPr>
        <w:t xml:space="preserve"> de la cuenta </w:t>
      </w:r>
      <w:r w:rsidR="00DC60EF" w:rsidRPr="007413C1">
        <w:rPr>
          <w:rFonts w:ascii="Verdana" w:hAnsi="Verdana"/>
        </w:rPr>
        <w:t>pública</w:t>
      </w:r>
      <w:r w:rsidRPr="007413C1">
        <w:rPr>
          <w:rFonts w:ascii="Verdana" w:hAnsi="Verdana"/>
        </w:rPr>
        <w:t xml:space="preserve"> en los formatos preestablecidos por el CONAC y se realiza la entrega de dicha información al </w:t>
      </w:r>
      <w:r w:rsidR="00A832BD" w:rsidRPr="007413C1">
        <w:rPr>
          <w:rFonts w:ascii="Verdana" w:hAnsi="Verdana"/>
        </w:rPr>
        <w:t>Órgano</w:t>
      </w:r>
      <w:r w:rsidRPr="007413C1">
        <w:rPr>
          <w:rFonts w:ascii="Verdana" w:hAnsi="Verdana"/>
        </w:rPr>
        <w:t xml:space="preserve"> de </w:t>
      </w:r>
      <w:r w:rsidR="00A832BD" w:rsidRPr="007413C1">
        <w:rPr>
          <w:rFonts w:ascii="Verdana" w:hAnsi="Verdana"/>
        </w:rPr>
        <w:t>Fiscalización Superior</w:t>
      </w:r>
      <w:r w:rsidRPr="007413C1">
        <w:rPr>
          <w:rFonts w:ascii="Verdana" w:hAnsi="Verdana"/>
        </w:rPr>
        <w:t xml:space="preserve"> del Estado Guanajuato a través del sistema SIRET</w:t>
      </w:r>
      <w:r w:rsidR="00A832BD" w:rsidRPr="007413C1">
        <w:rPr>
          <w:rFonts w:ascii="Verdana" w:hAnsi="Verdana"/>
        </w:rPr>
        <w:t xml:space="preserve"> el cual es un programa electrónico monitoreado en la actualidad por la ASEG,  mediante dicho programa se realiza el envío de la información de los informes financieros trimestrales y de esta manera se da por concluido el cumplimiento de las obligaciones.</w:t>
      </w:r>
    </w:p>
    <w:p w:rsidR="00EE6D1D" w:rsidRPr="007413C1" w:rsidRDefault="00EE6D1D" w:rsidP="004421C0">
      <w:pPr>
        <w:spacing w:after="0" w:line="360" w:lineRule="auto"/>
        <w:jc w:val="both"/>
        <w:rPr>
          <w:rFonts w:ascii="Verdana" w:hAnsi="Verdana"/>
        </w:rPr>
      </w:pPr>
    </w:p>
    <w:p w:rsidR="00EE6D1D" w:rsidRPr="007413C1" w:rsidRDefault="00EE6D1D" w:rsidP="004029F9">
      <w:pPr>
        <w:spacing w:after="0" w:line="360" w:lineRule="auto"/>
        <w:jc w:val="both"/>
        <w:rPr>
          <w:rFonts w:ascii="Verdana" w:hAnsi="Verdana"/>
        </w:rPr>
      </w:pPr>
    </w:p>
    <w:p w:rsidR="00EE6D1D" w:rsidRPr="007413C1" w:rsidRDefault="00EE6D1D" w:rsidP="004029F9">
      <w:pPr>
        <w:spacing w:after="0" w:line="360" w:lineRule="auto"/>
        <w:jc w:val="both"/>
        <w:rPr>
          <w:rFonts w:ascii="Verdana" w:hAnsi="Verdana"/>
        </w:rPr>
      </w:pPr>
    </w:p>
    <w:p w:rsidR="00EE6D1D" w:rsidRPr="007413C1" w:rsidRDefault="00EE6D1D" w:rsidP="004029F9">
      <w:pPr>
        <w:spacing w:after="0" w:line="360" w:lineRule="auto"/>
        <w:jc w:val="both"/>
        <w:rPr>
          <w:rFonts w:ascii="Verdana" w:hAnsi="Verdana"/>
        </w:rPr>
      </w:pPr>
    </w:p>
    <w:p w:rsidR="00EE6D1D" w:rsidRPr="007413C1" w:rsidRDefault="00EE6D1D" w:rsidP="004029F9">
      <w:pPr>
        <w:spacing w:after="0" w:line="360" w:lineRule="auto"/>
        <w:jc w:val="both"/>
        <w:rPr>
          <w:rFonts w:ascii="Verdana" w:hAnsi="Verdana"/>
        </w:rPr>
      </w:pPr>
    </w:p>
    <w:p w:rsidR="00EE6D1D" w:rsidRPr="007413C1" w:rsidRDefault="00EE6D1D" w:rsidP="004029F9">
      <w:pPr>
        <w:spacing w:after="0" w:line="360" w:lineRule="auto"/>
        <w:jc w:val="both"/>
        <w:rPr>
          <w:rFonts w:ascii="Verdana" w:hAnsi="Verdana"/>
        </w:rPr>
      </w:pPr>
    </w:p>
    <w:p w:rsidR="00EE6D1D" w:rsidRPr="007413C1" w:rsidRDefault="00EE6D1D" w:rsidP="004029F9">
      <w:pPr>
        <w:spacing w:after="0" w:line="360" w:lineRule="auto"/>
        <w:jc w:val="both"/>
        <w:rPr>
          <w:rFonts w:ascii="Verdana" w:hAnsi="Verdana"/>
        </w:rPr>
      </w:pPr>
    </w:p>
    <w:p w:rsidR="00EE6D1D" w:rsidRPr="007413C1" w:rsidRDefault="00EE6D1D" w:rsidP="004029F9">
      <w:pPr>
        <w:spacing w:after="0" w:line="360" w:lineRule="auto"/>
        <w:jc w:val="both"/>
        <w:rPr>
          <w:rFonts w:ascii="Verdana" w:hAnsi="Verdana"/>
        </w:rPr>
      </w:pPr>
    </w:p>
    <w:p w:rsidR="00EE6D1D" w:rsidRPr="007413C1" w:rsidRDefault="00EE6D1D" w:rsidP="00EE6D1D">
      <w:pPr>
        <w:spacing w:after="0" w:line="360" w:lineRule="auto"/>
        <w:jc w:val="center"/>
        <w:rPr>
          <w:rFonts w:ascii="Verdana" w:hAnsi="Verdana"/>
        </w:rPr>
      </w:pPr>
      <w:r w:rsidRPr="007413C1">
        <w:rPr>
          <w:rFonts w:ascii="Verdana" w:hAnsi="Verdana"/>
        </w:rPr>
        <w:t>COMPROBANTE DE ENVÍO DE LOS REPORTES FINANCIEROS ANTES</w:t>
      </w:r>
    </w:p>
    <w:p w:rsidR="00EE6D1D" w:rsidRPr="007413C1" w:rsidRDefault="00EE6D1D" w:rsidP="00EE6D1D">
      <w:pPr>
        <w:spacing w:after="0" w:line="360" w:lineRule="auto"/>
        <w:jc w:val="center"/>
        <w:rPr>
          <w:rFonts w:ascii="Verdana" w:hAnsi="Verdana"/>
        </w:rPr>
      </w:pPr>
      <w:r w:rsidRPr="007413C1">
        <w:rPr>
          <w:rFonts w:ascii="Verdana" w:hAnsi="Verdana"/>
        </w:rPr>
        <w:t>LLAMADOS LA CUENTA PÚBLICA</w:t>
      </w:r>
    </w:p>
    <w:p w:rsidR="00EE6D1D" w:rsidRPr="007413C1" w:rsidRDefault="00EE6D1D" w:rsidP="004029F9">
      <w:pPr>
        <w:spacing w:after="0" w:line="360" w:lineRule="auto"/>
        <w:jc w:val="both"/>
        <w:rPr>
          <w:rFonts w:ascii="Verdana" w:hAnsi="Verdana"/>
        </w:rPr>
      </w:pPr>
    </w:p>
    <w:p w:rsidR="00E52688" w:rsidRPr="007413C1" w:rsidRDefault="00EE6D1D" w:rsidP="004029F9">
      <w:pPr>
        <w:spacing w:after="0" w:line="360" w:lineRule="auto"/>
        <w:jc w:val="both"/>
        <w:rPr>
          <w:rFonts w:ascii="Verdana" w:hAnsi="Verdana"/>
        </w:rPr>
      </w:pPr>
      <w:r w:rsidRPr="007413C1">
        <w:rPr>
          <w:rFonts w:ascii="Verdana" w:hAnsi="Verdana"/>
          <w:noProof/>
        </w:rPr>
        <w:drawing>
          <wp:anchor distT="0" distB="0" distL="114300" distR="114300" simplePos="0" relativeHeight="251665408" behindDoc="0" locked="0" layoutInCell="1" allowOverlap="1" wp14:anchorId="0059E2C0" wp14:editId="135C807F">
            <wp:simplePos x="0" y="0"/>
            <wp:positionH relativeFrom="margin">
              <wp:align>center</wp:align>
            </wp:positionH>
            <wp:positionV relativeFrom="paragraph">
              <wp:posOffset>338455</wp:posOffset>
            </wp:positionV>
            <wp:extent cx="6504305" cy="5181600"/>
            <wp:effectExtent l="0" t="0" r="0" b="0"/>
            <wp:wrapThrough wrapText="bothSides">
              <wp:wrapPolygon edited="0">
                <wp:start x="0" y="0"/>
                <wp:lineTo x="0" y="21521"/>
                <wp:lineTo x="21509" y="21521"/>
                <wp:lineTo x="2150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4305" cy="518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688" w:rsidRPr="007413C1" w:rsidRDefault="00E52688" w:rsidP="004029F9">
      <w:pPr>
        <w:spacing w:after="0" w:line="360" w:lineRule="auto"/>
        <w:jc w:val="both"/>
        <w:rPr>
          <w:rFonts w:ascii="Verdana" w:hAnsi="Verdana"/>
        </w:rPr>
      </w:pPr>
    </w:p>
    <w:p w:rsidR="00E52688" w:rsidRPr="007413C1" w:rsidRDefault="00E52688" w:rsidP="00E52688">
      <w:pPr>
        <w:spacing w:after="0" w:line="360" w:lineRule="auto"/>
        <w:jc w:val="center"/>
        <w:rPr>
          <w:rFonts w:ascii="Verdana" w:hAnsi="Verdana" w:cs="Aharoni"/>
        </w:rPr>
      </w:pPr>
    </w:p>
    <w:p w:rsidR="00EE6D1D" w:rsidRPr="007413C1" w:rsidRDefault="00EE6D1D" w:rsidP="00E52688">
      <w:pPr>
        <w:spacing w:after="0" w:line="360" w:lineRule="auto"/>
        <w:jc w:val="center"/>
        <w:rPr>
          <w:rFonts w:ascii="Verdana" w:hAnsi="Verdana" w:cs="Aharoni"/>
        </w:rPr>
      </w:pPr>
    </w:p>
    <w:p w:rsidR="00EE6D1D" w:rsidRPr="007413C1" w:rsidRDefault="00EE6D1D" w:rsidP="00E52688">
      <w:pPr>
        <w:spacing w:after="0" w:line="360" w:lineRule="auto"/>
        <w:jc w:val="center"/>
        <w:rPr>
          <w:rFonts w:ascii="Verdana" w:hAnsi="Verdana" w:cs="Aharoni"/>
        </w:rPr>
      </w:pPr>
    </w:p>
    <w:p w:rsidR="00EE6D1D" w:rsidRPr="007413C1" w:rsidRDefault="00EE6D1D" w:rsidP="00E52688">
      <w:pPr>
        <w:spacing w:after="0" w:line="360" w:lineRule="auto"/>
        <w:jc w:val="center"/>
        <w:rPr>
          <w:rFonts w:ascii="Verdana" w:hAnsi="Verdana" w:cs="Aharoni"/>
        </w:rPr>
      </w:pPr>
    </w:p>
    <w:p w:rsidR="00EE6D1D" w:rsidRPr="007413C1" w:rsidRDefault="00EE6D1D" w:rsidP="00E52688">
      <w:pPr>
        <w:spacing w:after="0" w:line="360" w:lineRule="auto"/>
        <w:jc w:val="center"/>
        <w:rPr>
          <w:rFonts w:ascii="Verdana" w:hAnsi="Verdana" w:cs="Aharoni"/>
        </w:rPr>
      </w:pPr>
    </w:p>
    <w:p w:rsidR="00E52688" w:rsidRPr="007413C1" w:rsidRDefault="00E52688" w:rsidP="00E52688">
      <w:pPr>
        <w:spacing w:after="0" w:line="360" w:lineRule="auto"/>
        <w:jc w:val="center"/>
        <w:rPr>
          <w:rFonts w:ascii="Verdana" w:hAnsi="Verdana" w:cs="Aharoni"/>
          <w:b/>
        </w:rPr>
      </w:pPr>
      <w:r w:rsidRPr="007413C1">
        <w:rPr>
          <w:rFonts w:ascii="Verdana" w:hAnsi="Verdana" w:cs="Aharoni"/>
          <w:b/>
        </w:rPr>
        <w:t>ANALISIS FODA</w:t>
      </w:r>
    </w:p>
    <w:p w:rsidR="004421C0" w:rsidRPr="007413C1" w:rsidRDefault="004421C0" w:rsidP="00E52688">
      <w:pPr>
        <w:spacing w:after="0" w:line="360" w:lineRule="auto"/>
        <w:jc w:val="center"/>
        <w:rPr>
          <w:rFonts w:ascii="Verdana" w:hAnsi="Verdana" w:cs="Aharoni"/>
        </w:rPr>
      </w:pPr>
    </w:p>
    <w:p w:rsidR="00392F43" w:rsidRPr="007413C1" w:rsidRDefault="00392F43" w:rsidP="004421C0">
      <w:pPr>
        <w:autoSpaceDE w:val="0"/>
        <w:autoSpaceDN w:val="0"/>
        <w:adjustRightInd w:val="0"/>
        <w:spacing w:after="0" w:line="360" w:lineRule="auto"/>
        <w:jc w:val="both"/>
        <w:rPr>
          <w:rFonts w:ascii="Verdana" w:hAnsi="Verdana" w:cs="Arial"/>
          <w:b/>
          <w:bCs/>
        </w:rPr>
      </w:pPr>
      <w:r w:rsidRPr="007413C1">
        <w:rPr>
          <w:rFonts w:ascii="Verdana" w:hAnsi="Verdana" w:cs="Arial"/>
          <w:b/>
          <w:bCs/>
        </w:rPr>
        <w:t>Dimensión Administración Pública y Estado de Derecho</w:t>
      </w:r>
    </w:p>
    <w:p w:rsidR="00392F43" w:rsidRPr="007413C1" w:rsidRDefault="00392F43" w:rsidP="004421C0">
      <w:pPr>
        <w:autoSpaceDE w:val="0"/>
        <w:autoSpaceDN w:val="0"/>
        <w:adjustRightInd w:val="0"/>
        <w:spacing w:after="0" w:line="360" w:lineRule="auto"/>
        <w:jc w:val="both"/>
        <w:rPr>
          <w:rFonts w:ascii="Verdana" w:hAnsi="Verdana" w:cs="Arial"/>
        </w:rPr>
      </w:pPr>
      <w:r w:rsidRPr="007413C1">
        <w:rPr>
          <w:rFonts w:ascii="Verdana" w:hAnsi="Verdana" w:cs="Arial"/>
        </w:rPr>
        <w:t>El análisis de esta dimensión nos permite identificar en qué grado el gobierno local cuenta con una administración de calidad ligada a la satisfacción del cliente y la competitividad, la racionalidad y el ahorro, la productividad y la eficiencia, la simplificación y disminución de las funciones administrativas del municipio, la reorganización de la administración pública y el fomento de la cultura orientada hacia metas y resultados.</w:t>
      </w:r>
    </w:p>
    <w:p w:rsidR="00EE6D1D" w:rsidRPr="007413C1" w:rsidRDefault="00EE6D1D" w:rsidP="004421C0">
      <w:pPr>
        <w:autoSpaceDE w:val="0"/>
        <w:autoSpaceDN w:val="0"/>
        <w:adjustRightInd w:val="0"/>
        <w:spacing w:after="0" w:line="360" w:lineRule="auto"/>
        <w:jc w:val="both"/>
        <w:rPr>
          <w:rFonts w:ascii="Verdana" w:hAnsi="Verdana" w:cs="Arial"/>
        </w:rPr>
      </w:pPr>
    </w:p>
    <w:p w:rsidR="00EE6D1D" w:rsidRPr="007413C1" w:rsidRDefault="00EE6D1D" w:rsidP="004421C0">
      <w:pPr>
        <w:autoSpaceDE w:val="0"/>
        <w:autoSpaceDN w:val="0"/>
        <w:adjustRightInd w:val="0"/>
        <w:spacing w:after="0" w:line="360" w:lineRule="auto"/>
        <w:jc w:val="both"/>
        <w:rPr>
          <w:rFonts w:ascii="Verdana" w:hAnsi="Verdana" w:cs="Arial"/>
        </w:rPr>
      </w:pPr>
    </w:p>
    <w:p w:rsidR="00392F43" w:rsidRPr="007413C1" w:rsidRDefault="00392F43" w:rsidP="00392F43">
      <w:pPr>
        <w:autoSpaceDE w:val="0"/>
        <w:autoSpaceDN w:val="0"/>
        <w:adjustRightInd w:val="0"/>
        <w:spacing w:after="0" w:line="360" w:lineRule="auto"/>
        <w:jc w:val="both"/>
        <w:rPr>
          <w:rFonts w:ascii="Verdana" w:hAnsi="Verdana" w:cs="Arial"/>
        </w:rPr>
      </w:pPr>
    </w:p>
    <w:p w:rsidR="00392F43" w:rsidRPr="007413C1" w:rsidRDefault="00392F43" w:rsidP="00392F43">
      <w:pPr>
        <w:autoSpaceDE w:val="0"/>
        <w:autoSpaceDN w:val="0"/>
        <w:adjustRightInd w:val="0"/>
        <w:spacing w:after="0" w:line="360" w:lineRule="auto"/>
        <w:jc w:val="both"/>
        <w:rPr>
          <w:rFonts w:ascii="Verdana" w:hAnsi="Verdana" w:cs="Arial"/>
          <w:b/>
          <w:bCs/>
        </w:rPr>
      </w:pPr>
      <w:r w:rsidRPr="007413C1">
        <w:rPr>
          <w:rFonts w:ascii="Verdana" w:hAnsi="Verdana" w:cs="Arial"/>
          <w:b/>
          <w:bCs/>
        </w:rPr>
        <w:t>Análisis de indicadores</w:t>
      </w:r>
    </w:p>
    <w:p w:rsidR="00392F43" w:rsidRPr="007413C1" w:rsidRDefault="00392F43" w:rsidP="00392F43">
      <w:pPr>
        <w:autoSpaceDE w:val="0"/>
        <w:autoSpaceDN w:val="0"/>
        <w:adjustRightInd w:val="0"/>
        <w:spacing w:after="0" w:line="360" w:lineRule="auto"/>
        <w:jc w:val="both"/>
        <w:rPr>
          <w:rFonts w:ascii="Verdana" w:hAnsi="Verdana" w:cs="Arial"/>
        </w:rPr>
      </w:pPr>
      <w:r w:rsidRPr="007413C1">
        <w:rPr>
          <w:rFonts w:ascii="Verdana" w:hAnsi="Verdana" w:cs="Arial"/>
        </w:rPr>
        <w:t>De acuerdo con los indicadores de la dimensión Administración Pública y Estado de</w:t>
      </w:r>
      <w:r w:rsidRPr="007413C1">
        <w:rPr>
          <w:rFonts w:ascii="Verdana" w:hAnsi="Verdana" w:cs="Arial"/>
          <w:b/>
        </w:rPr>
        <w:t xml:space="preserve"> </w:t>
      </w:r>
      <w:r w:rsidRPr="007413C1">
        <w:rPr>
          <w:rFonts w:ascii="Verdana" w:hAnsi="Verdana" w:cs="Arial"/>
        </w:rPr>
        <w:t>Derecho</w:t>
      </w:r>
      <w:r w:rsidRPr="007413C1">
        <w:rPr>
          <w:rFonts w:ascii="Verdana" w:hAnsi="Verdana" w:cs="Arial"/>
          <w:b/>
        </w:rPr>
        <w:t xml:space="preserve"> </w:t>
      </w:r>
      <w:r w:rsidRPr="007413C1">
        <w:rPr>
          <w:rFonts w:ascii="Verdana" w:hAnsi="Verdana" w:cs="Arial"/>
        </w:rPr>
        <w:t>en el componente desarrollo institucional los indicadores son débiles ya que se tiene un alto costo burocrático y no cuenta con capacitación de sus servidores públicos. En el componente transparencia y rendición de cuentas tiene un indicador fortalecido ya que administra su sistema de transparencia a través de un sitio web.  En el componente finanzas públicas todos sus indicadores son débiles manifestados en la baja autonomía financiera, alta dependencia de las aportaciones federales y baja capacidad de inversión.  En el componente planeación participativa tiene un indicador débil ya que la ciudadanía no participa en el tema de seguridad pública, y un indicador fortalecido al contar con un sistema de control y seguimiento de objetivos, metas, indicadores y/o resultados.  Lo anterior se presenta en la siguiente gráfica.</w:t>
      </w:r>
    </w:p>
    <w:p w:rsidR="00392F43" w:rsidRPr="007413C1" w:rsidRDefault="00392F43" w:rsidP="00392F43">
      <w:pPr>
        <w:autoSpaceDE w:val="0"/>
        <w:autoSpaceDN w:val="0"/>
        <w:adjustRightInd w:val="0"/>
        <w:spacing w:after="0" w:line="360" w:lineRule="auto"/>
        <w:jc w:val="both"/>
        <w:rPr>
          <w:rFonts w:ascii="Verdana" w:hAnsi="Verdana" w:cs="Arial"/>
        </w:rPr>
      </w:pPr>
    </w:p>
    <w:p w:rsidR="00392F43" w:rsidRPr="007413C1" w:rsidRDefault="00392F43" w:rsidP="00392F43">
      <w:pPr>
        <w:autoSpaceDE w:val="0"/>
        <w:autoSpaceDN w:val="0"/>
        <w:adjustRightInd w:val="0"/>
        <w:spacing w:after="0" w:line="360" w:lineRule="auto"/>
        <w:jc w:val="both"/>
        <w:rPr>
          <w:rFonts w:ascii="Verdana" w:hAnsi="Verdana" w:cs="Arial"/>
        </w:rPr>
      </w:pPr>
    </w:p>
    <w:p w:rsidR="00392F43" w:rsidRPr="007413C1" w:rsidRDefault="00392F43" w:rsidP="00392F43">
      <w:pPr>
        <w:autoSpaceDE w:val="0"/>
        <w:autoSpaceDN w:val="0"/>
        <w:adjustRightInd w:val="0"/>
        <w:spacing w:after="0" w:line="360" w:lineRule="auto"/>
        <w:jc w:val="both"/>
        <w:rPr>
          <w:rFonts w:ascii="Verdana" w:hAnsi="Verdana" w:cs="Arial"/>
        </w:rPr>
      </w:pPr>
    </w:p>
    <w:p w:rsidR="00392F43" w:rsidRPr="007413C1" w:rsidRDefault="00392F43" w:rsidP="00392F43">
      <w:pPr>
        <w:autoSpaceDE w:val="0"/>
        <w:autoSpaceDN w:val="0"/>
        <w:adjustRightInd w:val="0"/>
        <w:spacing w:after="0" w:line="360" w:lineRule="auto"/>
        <w:jc w:val="both"/>
        <w:rPr>
          <w:rFonts w:ascii="Verdana" w:hAnsi="Verdana" w:cs="Arial"/>
        </w:rPr>
      </w:pPr>
    </w:p>
    <w:p w:rsidR="00392F43" w:rsidRPr="007413C1" w:rsidRDefault="00392F43" w:rsidP="00392F43">
      <w:pPr>
        <w:autoSpaceDE w:val="0"/>
        <w:autoSpaceDN w:val="0"/>
        <w:adjustRightInd w:val="0"/>
        <w:spacing w:after="0" w:line="360" w:lineRule="auto"/>
        <w:jc w:val="both"/>
        <w:rPr>
          <w:rFonts w:ascii="Verdana" w:hAnsi="Verdana" w:cs="Arial"/>
        </w:rPr>
      </w:pPr>
    </w:p>
    <w:p w:rsidR="00392F43" w:rsidRPr="007413C1" w:rsidRDefault="00392F43" w:rsidP="00392F43">
      <w:pPr>
        <w:autoSpaceDE w:val="0"/>
        <w:autoSpaceDN w:val="0"/>
        <w:adjustRightInd w:val="0"/>
        <w:spacing w:after="0" w:line="360" w:lineRule="auto"/>
        <w:jc w:val="both"/>
        <w:rPr>
          <w:rFonts w:ascii="Verdana" w:hAnsi="Verdana" w:cs="Arial"/>
        </w:rPr>
      </w:pPr>
    </w:p>
    <w:p w:rsidR="00392F43" w:rsidRPr="007413C1" w:rsidRDefault="00392F43" w:rsidP="00392F43">
      <w:pPr>
        <w:autoSpaceDE w:val="0"/>
        <w:autoSpaceDN w:val="0"/>
        <w:adjustRightInd w:val="0"/>
        <w:spacing w:after="0" w:line="360" w:lineRule="auto"/>
        <w:jc w:val="both"/>
        <w:rPr>
          <w:rFonts w:ascii="Verdana" w:hAnsi="Verdana" w:cs="Arial"/>
        </w:rPr>
      </w:pPr>
    </w:p>
    <w:p w:rsidR="00392F43" w:rsidRPr="007413C1" w:rsidRDefault="00392F43" w:rsidP="00392F43">
      <w:pPr>
        <w:autoSpaceDE w:val="0"/>
        <w:autoSpaceDN w:val="0"/>
        <w:adjustRightInd w:val="0"/>
        <w:spacing w:after="0" w:line="360" w:lineRule="auto"/>
        <w:jc w:val="both"/>
        <w:rPr>
          <w:rFonts w:ascii="Verdana" w:hAnsi="Verdana" w:cs="Arial"/>
        </w:rPr>
      </w:pPr>
    </w:p>
    <w:p w:rsidR="00392F43" w:rsidRPr="007413C1" w:rsidRDefault="00392F43" w:rsidP="00392F43">
      <w:pPr>
        <w:autoSpaceDE w:val="0"/>
        <w:autoSpaceDN w:val="0"/>
        <w:adjustRightInd w:val="0"/>
        <w:spacing w:after="0" w:line="360" w:lineRule="auto"/>
        <w:jc w:val="both"/>
        <w:rPr>
          <w:rFonts w:ascii="Verdana" w:hAnsi="Verdana" w:cs="Arial"/>
        </w:rPr>
      </w:pPr>
    </w:p>
    <w:p w:rsidR="00392F43" w:rsidRPr="007413C1" w:rsidRDefault="00392F43" w:rsidP="00392F43">
      <w:pPr>
        <w:autoSpaceDE w:val="0"/>
        <w:autoSpaceDN w:val="0"/>
        <w:adjustRightInd w:val="0"/>
        <w:spacing w:after="0" w:line="360" w:lineRule="auto"/>
        <w:jc w:val="both"/>
        <w:rPr>
          <w:rFonts w:ascii="Verdana" w:hAnsi="Verdana" w:cs="Arial"/>
        </w:rPr>
      </w:pPr>
    </w:p>
    <w:p w:rsidR="00392F43" w:rsidRPr="007413C1" w:rsidRDefault="00392F43" w:rsidP="00392F43">
      <w:pPr>
        <w:spacing w:after="0" w:line="360" w:lineRule="auto"/>
        <w:jc w:val="both"/>
        <w:rPr>
          <w:rFonts w:ascii="Verdana" w:hAnsi="Verdana" w:cs="Arial"/>
          <w:b/>
        </w:rPr>
      </w:pPr>
      <w:r w:rsidRPr="007413C1">
        <w:rPr>
          <w:rFonts w:ascii="Verdana" w:hAnsi="Verdana" w:cs="Arial"/>
          <w:b/>
        </w:rPr>
        <w:t xml:space="preserve">Gráfica 2.- Santa Cruz de Juventino Rosas. Indicadores de la dimensión </w:t>
      </w:r>
    </w:p>
    <w:p w:rsidR="00392F43" w:rsidRPr="007413C1" w:rsidRDefault="00392F43" w:rsidP="00392F43">
      <w:pPr>
        <w:spacing w:after="0" w:line="360" w:lineRule="auto"/>
        <w:jc w:val="both"/>
        <w:rPr>
          <w:rFonts w:ascii="Verdana" w:hAnsi="Verdana" w:cs="Arial"/>
          <w:b/>
        </w:rPr>
      </w:pPr>
      <w:r w:rsidRPr="007413C1">
        <w:rPr>
          <w:rFonts w:ascii="Verdana" w:hAnsi="Verdana" w:cs="Arial"/>
          <w:b/>
        </w:rPr>
        <w:t>Administración Pública y Estado de Derecho. 2012</w:t>
      </w:r>
    </w:p>
    <w:p w:rsidR="00392F43" w:rsidRPr="007413C1" w:rsidRDefault="00392F43" w:rsidP="00392F43">
      <w:pPr>
        <w:spacing w:after="0" w:line="360" w:lineRule="auto"/>
        <w:jc w:val="both"/>
        <w:rPr>
          <w:rFonts w:ascii="Verdana" w:hAnsi="Verdana" w:cs="Arial"/>
          <w:b/>
        </w:rPr>
      </w:pPr>
    </w:p>
    <w:p w:rsidR="00392F43" w:rsidRPr="007413C1" w:rsidRDefault="00392F43" w:rsidP="00392F43">
      <w:pPr>
        <w:autoSpaceDE w:val="0"/>
        <w:autoSpaceDN w:val="0"/>
        <w:adjustRightInd w:val="0"/>
        <w:spacing w:after="0" w:line="360" w:lineRule="auto"/>
        <w:jc w:val="both"/>
        <w:rPr>
          <w:rFonts w:ascii="Verdana" w:hAnsi="Verdana" w:cs="Arial"/>
          <w:noProof/>
          <w:lang w:val="es-ES" w:eastAsia="es-ES"/>
        </w:rPr>
      </w:pPr>
      <w:r w:rsidRPr="007413C1">
        <w:rPr>
          <w:rFonts w:ascii="Verdana" w:hAnsi="Verdana" w:cs="Arial"/>
          <w:noProof/>
          <w:lang w:eastAsia="es-MX"/>
        </w:rPr>
        <w:drawing>
          <wp:inline distT="0" distB="0" distL="0" distR="0" wp14:anchorId="01766B41" wp14:editId="36FD51AA">
            <wp:extent cx="5257800" cy="40862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4086225"/>
                    </a:xfrm>
                    <a:prstGeom prst="rect">
                      <a:avLst/>
                    </a:prstGeom>
                    <a:noFill/>
                    <a:ln>
                      <a:noFill/>
                    </a:ln>
                  </pic:spPr>
                </pic:pic>
              </a:graphicData>
            </a:graphic>
          </wp:inline>
        </w:drawing>
      </w:r>
    </w:p>
    <w:p w:rsidR="00392F43" w:rsidRPr="007413C1" w:rsidRDefault="00392F43" w:rsidP="00392F43">
      <w:pPr>
        <w:autoSpaceDE w:val="0"/>
        <w:autoSpaceDN w:val="0"/>
        <w:adjustRightInd w:val="0"/>
        <w:spacing w:after="0" w:line="360" w:lineRule="auto"/>
        <w:jc w:val="both"/>
        <w:rPr>
          <w:rFonts w:ascii="Verdana" w:hAnsi="Verdana" w:cs="Arial"/>
        </w:rPr>
      </w:pPr>
    </w:p>
    <w:p w:rsidR="00392F43" w:rsidRPr="007413C1" w:rsidRDefault="00392F43" w:rsidP="00392F43">
      <w:pPr>
        <w:spacing w:after="0" w:line="360" w:lineRule="auto"/>
        <w:jc w:val="both"/>
        <w:rPr>
          <w:rFonts w:ascii="Verdana" w:hAnsi="Verdana" w:cs="Arial"/>
        </w:rPr>
      </w:pPr>
    </w:p>
    <w:p w:rsidR="00392F43" w:rsidRPr="007413C1" w:rsidRDefault="00392F43" w:rsidP="00392F43">
      <w:pPr>
        <w:spacing w:after="0" w:line="360" w:lineRule="auto"/>
        <w:jc w:val="both"/>
        <w:rPr>
          <w:rFonts w:ascii="Verdana" w:hAnsi="Verdana" w:cs="Arial"/>
        </w:rPr>
      </w:pPr>
    </w:p>
    <w:p w:rsidR="00392F43" w:rsidRPr="007413C1" w:rsidRDefault="00392F43" w:rsidP="00392F43">
      <w:pPr>
        <w:spacing w:after="0" w:line="360" w:lineRule="auto"/>
        <w:jc w:val="both"/>
        <w:rPr>
          <w:rFonts w:ascii="Verdana" w:hAnsi="Verdana" w:cs="Arial"/>
        </w:rPr>
      </w:pPr>
      <w:r w:rsidRPr="007413C1">
        <w:rPr>
          <w:rFonts w:ascii="Verdana" w:hAnsi="Verdana" w:cs="Arial"/>
        </w:rPr>
        <w:t>Fuente: Elaboración propia con datos proporcionados por el IPLANEG. 2012.</w:t>
      </w:r>
    </w:p>
    <w:p w:rsidR="00392F43" w:rsidRPr="007413C1" w:rsidRDefault="00392F43" w:rsidP="00392F43">
      <w:pPr>
        <w:spacing w:after="0" w:line="360" w:lineRule="auto"/>
        <w:jc w:val="both"/>
        <w:rPr>
          <w:rFonts w:ascii="Verdana" w:hAnsi="Verdana" w:cs="Arial"/>
          <w:b/>
          <w:bCs/>
        </w:rPr>
      </w:pPr>
      <w:r w:rsidRPr="007413C1">
        <w:rPr>
          <w:rFonts w:ascii="Verdana" w:hAnsi="Verdana" w:cs="Arial"/>
          <w:b/>
          <w:bCs/>
        </w:rPr>
        <w:br w:type="page"/>
      </w:r>
    </w:p>
    <w:p w:rsidR="00392F43" w:rsidRPr="007413C1" w:rsidRDefault="00392F43" w:rsidP="00392F43">
      <w:pPr>
        <w:pStyle w:val="Listavistosa-nfasis11"/>
        <w:spacing w:line="360" w:lineRule="auto"/>
        <w:ind w:left="11"/>
        <w:contextualSpacing w:val="0"/>
        <w:jc w:val="both"/>
        <w:rPr>
          <w:rFonts w:ascii="Verdana" w:hAnsi="Verdana" w:cs="Arial"/>
        </w:rPr>
      </w:pPr>
      <w:r w:rsidRPr="007413C1">
        <w:rPr>
          <w:rFonts w:ascii="Verdana" w:hAnsi="Verdana" w:cs="Arial"/>
        </w:rPr>
        <w:lastRenderedPageBreak/>
        <w:t xml:space="preserve">A </w:t>
      </w:r>
      <w:r w:rsidR="00EE6D1D" w:rsidRPr="007413C1">
        <w:rPr>
          <w:rFonts w:ascii="Verdana" w:hAnsi="Verdana" w:cs="Arial"/>
        </w:rPr>
        <w:t>continuación,</w:t>
      </w:r>
      <w:r w:rsidRPr="007413C1">
        <w:rPr>
          <w:rFonts w:ascii="Verdana" w:hAnsi="Verdana" w:cs="Arial"/>
        </w:rPr>
        <w:t xml:space="preserve"> se presentan las variables que nos permiten valorar como se encuentra el municipio en su ambiente interno.  Las oportunidades (factores externos que se podrán aprovechar para disminuir los problemas) y las amenazas (factores externos que nos pueden agravar los problemas o disminuir nuestras fortalezas).</w:t>
      </w:r>
    </w:p>
    <w:tbl>
      <w:tblPr>
        <w:tblW w:w="5000" w:type="pct"/>
        <w:jc w:val="center"/>
        <w:tblBorders>
          <w:top w:val="single" w:sz="4" w:space="0" w:color="244061"/>
          <w:left w:val="single" w:sz="4" w:space="0" w:color="FFFFFF"/>
          <w:bottom w:val="single" w:sz="4" w:space="0" w:color="244061"/>
          <w:right w:val="single" w:sz="4" w:space="0" w:color="FFFFFF"/>
          <w:insideH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4333"/>
        <w:gridCol w:w="160"/>
        <w:gridCol w:w="4335"/>
      </w:tblGrid>
      <w:tr w:rsidR="00392F43" w:rsidRPr="007413C1" w:rsidTr="00712B26">
        <w:trPr>
          <w:jc w:val="center"/>
        </w:trPr>
        <w:tc>
          <w:tcPr>
            <w:tcW w:w="5000" w:type="pct"/>
            <w:gridSpan w:val="3"/>
            <w:tcBorders>
              <w:top w:val="single" w:sz="4" w:space="0" w:color="FFFFFF"/>
              <w:bottom w:val="single" w:sz="4" w:space="0" w:color="FFFFFF"/>
            </w:tcBorders>
            <w:shd w:val="clear" w:color="000000" w:fill="5F497A"/>
            <w:noWrap/>
            <w:vAlign w:val="center"/>
          </w:tcPr>
          <w:p w:rsidR="00392F43" w:rsidRPr="007413C1" w:rsidRDefault="00392F43" w:rsidP="00712B26">
            <w:pPr>
              <w:spacing w:before="40" w:after="40" w:line="360" w:lineRule="auto"/>
              <w:jc w:val="center"/>
              <w:rPr>
                <w:rFonts w:ascii="Verdana" w:hAnsi="Verdana" w:cs="Arial"/>
                <w:b/>
                <w:highlight w:val="lightGray"/>
              </w:rPr>
            </w:pPr>
            <w:r w:rsidRPr="007413C1">
              <w:rPr>
                <w:rFonts w:ascii="Verdana" w:hAnsi="Verdana" w:cs="Arial"/>
                <w:b/>
                <w:color w:val="000000" w:themeColor="text1"/>
                <w:highlight w:val="lightGray"/>
              </w:rPr>
              <w:t>Dimensión Administración Pública y Estado de Derecho</w:t>
            </w:r>
          </w:p>
        </w:tc>
      </w:tr>
      <w:tr w:rsidR="00392F43" w:rsidRPr="007413C1" w:rsidTr="00712B26">
        <w:trPr>
          <w:jc w:val="center"/>
        </w:trPr>
        <w:tc>
          <w:tcPr>
            <w:tcW w:w="5000" w:type="pct"/>
            <w:gridSpan w:val="3"/>
            <w:tcBorders>
              <w:top w:val="single" w:sz="4" w:space="0" w:color="FFFFFF"/>
              <w:bottom w:val="single" w:sz="4" w:space="0" w:color="FFFFFF"/>
            </w:tcBorders>
            <w:shd w:val="clear" w:color="000000" w:fill="DDD9C3"/>
            <w:noWrap/>
            <w:vAlign w:val="center"/>
          </w:tcPr>
          <w:p w:rsidR="00392F43" w:rsidRPr="007413C1" w:rsidRDefault="00392F43" w:rsidP="00712B26">
            <w:pPr>
              <w:spacing w:before="40" w:after="40" w:line="360" w:lineRule="auto"/>
              <w:jc w:val="center"/>
              <w:rPr>
                <w:rFonts w:ascii="Verdana" w:eastAsia="Times New Roman" w:hAnsi="Verdana" w:cs="Arial"/>
                <w:b/>
                <w:bCs/>
                <w:highlight w:val="lightGray"/>
              </w:rPr>
            </w:pPr>
            <w:r w:rsidRPr="007413C1">
              <w:rPr>
                <w:rFonts w:ascii="Verdana" w:hAnsi="Verdana" w:cs="Arial"/>
                <w:highlight w:val="lightGray"/>
              </w:rPr>
              <w:t>A</w:t>
            </w:r>
            <w:r w:rsidRPr="007413C1">
              <w:rPr>
                <w:rFonts w:ascii="Verdana" w:eastAsia="Times New Roman" w:hAnsi="Verdana" w:cs="Arial"/>
                <w:b/>
                <w:bCs/>
                <w:highlight w:val="lightGray"/>
              </w:rPr>
              <w:t>mbiente interno</w:t>
            </w:r>
          </w:p>
        </w:tc>
      </w:tr>
      <w:tr w:rsidR="00392F43" w:rsidRPr="007413C1" w:rsidTr="00712B26">
        <w:trPr>
          <w:jc w:val="center"/>
        </w:trPr>
        <w:tc>
          <w:tcPr>
            <w:tcW w:w="2455" w:type="pct"/>
            <w:tcBorders>
              <w:top w:val="single" w:sz="4" w:space="0" w:color="FFFFFF"/>
              <w:bottom w:val="single" w:sz="4" w:space="0" w:color="FFFFFF"/>
            </w:tcBorders>
            <w:shd w:val="clear" w:color="000000" w:fill="1F497D"/>
            <w:noWrap/>
            <w:vAlign w:val="center"/>
          </w:tcPr>
          <w:p w:rsidR="00392F43" w:rsidRPr="007413C1" w:rsidRDefault="00392F43" w:rsidP="00712B26">
            <w:pPr>
              <w:spacing w:before="40" w:after="40" w:line="360" w:lineRule="auto"/>
              <w:jc w:val="center"/>
              <w:rPr>
                <w:rFonts w:ascii="Verdana" w:eastAsia="Times New Roman" w:hAnsi="Verdana" w:cs="Arial"/>
                <w:b/>
                <w:bCs/>
                <w:highlight w:val="lightGray"/>
              </w:rPr>
            </w:pPr>
            <w:r w:rsidRPr="007413C1">
              <w:rPr>
                <w:rFonts w:ascii="Verdana" w:eastAsia="Times New Roman" w:hAnsi="Verdana" w:cs="Arial"/>
                <w:b/>
                <w:bCs/>
                <w:highlight w:val="lightGray"/>
              </w:rPr>
              <w:t>Fortalezas</w:t>
            </w:r>
          </w:p>
        </w:tc>
        <w:tc>
          <w:tcPr>
            <w:tcW w:w="89" w:type="pct"/>
            <w:tcBorders>
              <w:top w:val="single" w:sz="4" w:space="0" w:color="FFFFFF"/>
              <w:bottom w:val="single" w:sz="4" w:space="0" w:color="FFFFFF"/>
            </w:tcBorders>
            <w:shd w:val="clear" w:color="000000" w:fill="1F497D"/>
          </w:tcPr>
          <w:p w:rsidR="00392F43" w:rsidRPr="007413C1" w:rsidRDefault="00392F43" w:rsidP="00712B26">
            <w:pPr>
              <w:spacing w:before="40" w:after="40" w:line="360" w:lineRule="auto"/>
              <w:jc w:val="both"/>
              <w:rPr>
                <w:rFonts w:ascii="Verdana" w:eastAsia="Times New Roman" w:hAnsi="Verdana" w:cs="Arial"/>
                <w:b/>
                <w:bCs/>
                <w:highlight w:val="lightGray"/>
              </w:rPr>
            </w:pPr>
          </w:p>
        </w:tc>
        <w:tc>
          <w:tcPr>
            <w:tcW w:w="2456" w:type="pct"/>
            <w:tcBorders>
              <w:top w:val="single" w:sz="4" w:space="0" w:color="FFFFFF"/>
              <w:bottom w:val="single" w:sz="4" w:space="0" w:color="FFFFFF"/>
            </w:tcBorders>
            <w:shd w:val="clear" w:color="000000" w:fill="1F497D"/>
            <w:vAlign w:val="center"/>
          </w:tcPr>
          <w:p w:rsidR="00392F43" w:rsidRPr="007413C1" w:rsidRDefault="00392F43" w:rsidP="00712B26">
            <w:pPr>
              <w:spacing w:before="40" w:after="40" w:line="360" w:lineRule="auto"/>
              <w:jc w:val="center"/>
              <w:rPr>
                <w:rFonts w:ascii="Verdana" w:eastAsia="Times New Roman" w:hAnsi="Verdana" w:cs="Arial"/>
                <w:b/>
                <w:bCs/>
              </w:rPr>
            </w:pPr>
            <w:r w:rsidRPr="007413C1">
              <w:rPr>
                <w:rFonts w:ascii="Verdana" w:eastAsia="Times New Roman" w:hAnsi="Verdana" w:cs="Arial"/>
                <w:b/>
                <w:bCs/>
                <w:highlight w:val="lightGray"/>
              </w:rPr>
              <w:t>Debilidades</w:t>
            </w:r>
          </w:p>
        </w:tc>
      </w:tr>
      <w:tr w:rsidR="00392F43" w:rsidRPr="007413C1" w:rsidTr="00712B26">
        <w:trPr>
          <w:jc w:val="center"/>
        </w:trPr>
        <w:tc>
          <w:tcPr>
            <w:tcW w:w="2455" w:type="pct"/>
            <w:tcBorders>
              <w:top w:val="single" w:sz="4" w:space="0" w:color="FFFFFF"/>
              <w:bottom w:val="single" w:sz="6" w:space="0" w:color="244061"/>
              <w:right w:val="single" w:sz="4" w:space="0" w:color="244061"/>
            </w:tcBorders>
            <w:shd w:val="clear" w:color="auto" w:fill="auto"/>
            <w:noWrap/>
          </w:tcPr>
          <w:p w:rsidR="00392F43" w:rsidRPr="007413C1" w:rsidRDefault="00392F43" w:rsidP="00392F43">
            <w:pPr>
              <w:pStyle w:val="PRegNormal"/>
              <w:numPr>
                <w:ilvl w:val="0"/>
                <w:numId w:val="9"/>
              </w:numPr>
              <w:spacing w:before="0" w:line="360" w:lineRule="auto"/>
              <w:ind w:left="284" w:hanging="284"/>
              <w:rPr>
                <w:rFonts w:ascii="Verdana" w:hAnsi="Verdana"/>
                <w:color w:val="auto"/>
              </w:rPr>
            </w:pPr>
            <w:r w:rsidRPr="007413C1">
              <w:rPr>
                <w:rFonts w:ascii="Verdana" w:hAnsi="Verdana"/>
                <w:color w:val="auto"/>
              </w:rPr>
              <w:t>El municipio administra su sistema de transparencia a través de un sitio WEB.</w:t>
            </w:r>
          </w:p>
          <w:p w:rsidR="00392F43" w:rsidRPr="007413C1" w:rsidRDefault="00392F43" w:rsidP="00392F43">
            <w:pPr>
              <w:pStyle w:val="PRegNormal"/>
              <w:numPr>
                <w:ilvl w:val="0"/>
                <w:numId w:val="9"/>
              </w:numPr>
              <w:spacing w:before="0" w:line="360" w:lineRule="auto"/>
              <w:ind w:left="284" w:hanging="284"/>
              <w:rPr>
                <w:rFonts w:ascii="Verdana" w:hAnsi="Verdana"/>
                <w:color w:val="auto"/>
              </w:rPr>
            </w:pPr>
            <w:r w:rsidRPr="007413C1">
              <w:rPr>
                <w:rFonts w:ascii="Verdana" w:hAnsi="Verdana"/>
                <w:color w:val="auto"/>
              </w:rPr>
              <w:t>Se cuenta con panel de control y seguimiento de objetivos, metas, indicadores y/o resultados.</w:t>
            </w:r>
          </w:p>
          <w:p w:rsidR="00392F43" w:rsidRPr="007413C1" w:rsidRDefault="00392F43" w:rsidP="00392F43">
            <w:pPr>
              <w:pStyle w:val="PRegNormal"/>
              <w:numPr>
                <w:ilvl w:val="0"/>
                <w:numId w:val="9"/>
              </w:numPr>
              <w:spacing w:before="0" w:line="360" w:lineRule="auto"/>
              <w:ind w:left="284" w:hanging="284"/>
              <w:rPr>
                <w:rFonts w:ascii="Verdana" w:hAnsi="Verdana"/>
                <w:color w:val="auto"/>
              </w:rPr>
            </w:pPr>
            <w:r w:rsidRPr="007413C1">
              <w:rPr>
                <w:rFonts w:ascii="Verdana" w:hAnsi="Verdana"/>
                <w:color w:val="auto"/>
              </w:rPr>
              <w:t>Tasa cruda de mortalidad por homicidio (2.52).</w:t>
            </w:r>
          </w:p>
        </w:tc>
        <w:tc>
          <w:tcPr>
            <w:tcW w:w="89" w:type="pct"/>
            <w:tcBorders>
              <w:top w:val="single" w:sz="4" w:space="0" w:color="FFFFFF"/>
              <w:bottom w:val="single" w:sz="6" w:space="0" w:color="244061"/>
              <w:right w:val="single" w:sz="4" w:space="0" w:color="244061"/>
            </w:tcBorders>
          </w:tcPr>
          <w:p w:rsidR="00392F43" w:rsidRPr="007413C1" w:rsidRDefault="00392F43" w:rsidP="00712B26">
            <w:pPr>
              <w:pStyle w:val="PRegNormal"/>
              <w:spacing w:before="40" w:after="40" w:line="360" w:lineRule="auto"/>
              <w:ind w:left="142"/>
              <w:rPr>
                <w:rFonts w:ascii="Verdana" w:hAnsi="Verdana"/>
                <w:color w:val="auto"/>
              </w:rPr>
            </w:pPr>
          </w:p>
        </w:tc>
        <w:tc>
          <w:tcPr>
            <w:tcW w:w="2456" w:type="pct"/>
            <w:tcBorders>
              <w:top w:val="single" w:sz="4" w:space="0" w:color="FFFFFF"/>
              <w:left w:val="single" w:sz="4" w:space="0" w:color="244061"/>
              <w:bottom w:val="single" w:sz="6" w:space="0" w:color="244061"/>
            </w:tcBorders>
          </w:tcPr>
          <w:p w:rsidR="00392F43" w:rsidRPr="007413C1" w:rsidRDefault="00392F43" w:rsidP="00392F43">
            <w:pPr>
              <w:pStyle w:val="PRegNormal"/>
              <w:numPr>
                <w:ilvl w:val="0"/>
                <w:numId w:val="9"/>
              </w:numPr>
              <w:spacing w:before="0" w:line="360" w:lineRule="auto"/>
              <w:ind w:left="392" w:hanging="284"/>
              <w:rPr>
                <w:rFonts w:ascii="Verdana" w:hAnsi="Verdana"/>
                <w:color w:val="auto"/>
              </w:rPr>
            </w:pPr>
            <w:r w:rsidRPr="007413C1">
              <w:rPr>
                <w:rFonts w:ascii="Verdana" w:hAnsi="Verdana"/>
                <w:color w:val="auto"/>
              </w:rPr>
              <w:t>No se cuenta con capacitación a servidores públicos.</w:t>
            </w:r>
          </w:p>
          <w:p w:rsidR="00392F43" w:rsidRPr="007413C1" w:rsidRDefault="00392F43" w:rsidP="00392F43">
            <w:pPr>
              <w:pStyle w:val="PRegNormal"/>
              <w:numPr>
                <w:ilvl w:val="0"/>
                <w:numId w:val="9"/>
              </w:numPr>
              <w:spacing w:before="0" w:line="360" w:lineRule="auto"/>
              <w:ind w:left="392" w:hanging="284"/>
              <w:rPr>
                <w:rFonts w:ascii="Verdana" w:hAnsi="Verdana"/>
                <w:b/>
                <w:color w:val="auto"/>
              </w:rPr>
            </w:pPr>
            <w:r w:rsidRPr="007413C1">
              <w:rPr>
                <w:rFonts w:ascii="Verdana" w:hAnsi="Verdana"/>
                <w:color w:val="auto"/>
              </w:rPr>
              <w:t>Alto costo burocrático.</w:t>
            </w:r>
          </w:p>
          <w:p w:rsidR="00392F43" w:rsidRPr="007413C1" w:rsidRDefault="00392F43" w:rsidP="00392F43">
            <w:pPr>
              <w:pStyle w:val="PRegNormal"/>
              <w:numPr>
                <w:ilvl w:val="0"/>
                <w:numId w:val="9"/>
              </w:numPr>
              <w:spacing w:before="0" w:line="360" w:lineRule="auto"/>
              <w:ind w:left="392" w:hanging="284"/>
              <w:rPr>
                <w:rFonts w:ascii="Verdana" w:hAnsi="Verdana"/>
                <w:b/>
                <w:color w:val="auto"/>
              </w:rPr>
            </w:pPr>
            <w:r w:rsidRPr="007413C1">
              <w:rPr>
                <w:rFonts w:ascii="Verdana" w:hAnsi="Verdana"/>
                <w:color w:val="auto"/>
              </w:rPr>
              <w:t>Alta dependencia de aportaciones federales.</w:t>
            </w:r>
          </w:p>
          <w:p w:rsidR="00392F43" w:rsidRPr="007413C1" w:rsidRDefault="00392F43" w:rsidP="00712B26">
            <w:pPr>
              <w:pStyle w:val="PRegNormal"/>
              <w:spacing w:before="0" w:line="360" w:lineRule="auto"/>
              <w:ind w:left="392"/>
              <w:rPr>
                <w:rFonts w:ascii="Verdana" w:hAnsi="Verdana"/>
                <w:b/>
                <w:color w:val="auto"/>
              </w:rPr>
            </w:pPr>
          </w:p>
        </w:tc>
      </w:tr>
      <w:tr w:rsidR="00392F43" w:rsidRPr="007413C1" w:rsidTr="00712B26">
        <w:trPr>
          <w:jc w:val="center"/>
        </w:trPr>
        <w:tc>
          <w:tcPr>
            <w:tcW w:w="5000" w:type="pct"/>
            <w:gridSpan w:val="3"/>
            <w:tcBorders>
              <w:top w:val="single" w:sz="6" w:space="0" w:color="244061"/>
              <w:left w:val="nil"/>
              <w:bottom w:val="single" w:sz="6" w:space="0" w:color="244061"/>
              <w:right w:val="single" w:sz="4" w:space="0" w:color="FFFFFF"/>
            </w:tcBorders>
            <w:shd w:val="clear" w:color="000000" w:fill="DDD9C3"/>
            <w:noWrap/>
            <w:vAlign w:val="center"/>
          </w:tcPr>
          <w:p w:rsidR="00392F43" w:rsidRPr="007413C1" w:rsidRDefault="00392F43" w:rsidP="00712B26">
            <w:pPr>
              <w:spacing w:before="40" w:after="40" w:line="360" w:lineRule="auto"/>
              <w:jc w:val="center"/>
              <w:rPr>
                <w:rFonts w:ascii="Verdana" w:eastAsia="Times New Roman" w:hAnsi="Verdana" w:cs="Arial"/>
                <w:b/>
                <w:bCs/>
              </w:rPr>
            </w:pPr>
            <w:r w:rsidRPr="007413C1">
              <w:rPr>
                <w:rFonts w:ascii="Verdana" w:eastAsia="Times New Roman" w:hAnsi="Verdana" w:cs="Arial"/>
                <w:b/>
                <w:bCs/>
              </w:rPr>
              <w:t>Ambiente externo</w:t>
            </w:r>
          </w:p>
        </w:tc>
      </w:tr>
      <w:tr w:rsidR="00392F43" w:rsidRPr="007413C1" w:rsidTr="00712B26">
        <w:trPr>
          <w:jc w:val="center"/>
        </w:trPr>
        <w:tc>
          <w:tcPr>
            <w:tcW w:w="2455" w:type="pct"/>
            <w:tcBorders>
              <w:top w:val="single" w:sz="6" w:space="0" w:color="244061"/>
              <w:left w:val="nil"/>
              <w:bottom w:val="single" w:sz="4" w:space="0" w:color="FFFFFF"/>
              <w:right w:val="single" w:sz="6" w:space="0" w:color="244061"/>
            </w:tcBorders>
            <w:shd w:val="clear" w:color="000000" w:fill="C4BC96"/>
            <w:noWrap/>
            <w:vAlign w:val="center"/>
          </w:tcPr>
          <w:p w:rsidR="00392F43" w:rsidRPr="007413C1" w:rsidRDefault="00392F43" w:rsidP="00712B26">
            <w:pPr>
              <w:spacing w:before="40" w:after="40" w:line="360" w:lineRule="auto"/>
              <w:jc w:val="center"/>
              <w:rPr>
                <w:rFonts w:ascii="Verdana" w:eastAsia="Times New Roman" w:hAnsi="Verdana" w:cs="Arial"/>
                <w:b/>
                <w:bCs/>
              </w:rPr>
            </w:pPr>
            <w:r w:rsidRPr="007413C1">
              <w:rPr>
                <w:rFonts w:ascii="Verdana" w:eastAsia="Times New Roman" w:hAnsi="Verdana" w:cs="Arial"/>
                <w:b/>
                <w:bCs/>
              </w:rPr>
              <w:t>Oportunidades</w:t>
            </w:r>
          </w:p>
        </w:tc>
        <w:tc>
          <w:tcPr>
            <w:tcW w:w="89" w:type="pct"/>
            <w:tcBorders>
              <w:top w:val="single" w:sz="6" w:space="0" w:color="244061"/>
              <w:left w:val="single" w:sz="6" w:space="0" w:color="244061"/>
              <w:bottom w:val="single" w:sz="4" w:space="0" w:color="FFFFFF"/>
              <w:right w:val="single" w:sz="6" w:space="0" w:color="244061"/>
            </w:tcBorders>
            <w:shd w:val="clear" w:color="000000" w:fill="C4BC96"/>
          </w:tcPr>
          <w:p w:rsidR="00392F43" w:rsidRPr="007413C1" w:rsidRDefault="00392F43" w:rsidP="00712B26">
            <w:pPr>
              <w:spacing w:before="40" w:after="40" w:line="360" w:lineRule="auto"/>
              <w:jc w:val="both"/>
              <w:rPr>
                <w:rFonts w:ascii="Verdana" w:eastAsia="Times New Roman" w:hAnsi="Verdana" w:cs="Arial"/>
                <w:b/>
                <w:bCs/>
              </w:rPr>
            </w:pPr>
          </w:p>
        </w:tc>
        <w:tc>
          <w:tcPr>
            <w:tcW w:w="2456" w:type="pct"/>
            <w:tcBorders>
              <w:top w:val="single" w:sz="6" w:space="0" w:color="244061"/>
              <w:left w:val="single" w:sz="6" w:space="0" w:color="244061"/>
              <w:bottom w:val="single" w:sz="4" w:space="0" w:color="FFFFFF"/>
              <w:right w:val="nil"/>
            </w:tcBorders>
            <w:shd w:val="clear" w:color="000000" w:fill="C4BC96"/>
            <w:vAlign w:val="center"/>
          </w:tcPr>
          <w:p w:rsidR="00392F43" w:rsidRPr="007413C1" w:rsidRDefault="00392F43" w:rsidP="00712B26">
            <w:pPr>
              <w:spacing w:before="40" w:after="40" w:line="360" w:lineRule="auto"/>
              <w:jc w:val="center"/>
              <w:rPr>
                <w:rFonts w:ascii="Verdana" w:eastAsia="Times New Roman" w:hAnsi="Verdana" w:cs="Arial"/>
                <w:b/>
                <w:bCs/>
              </w:rPr>
            </w:pPr>
            <w:r w:rsidRPr="007413C1">
              <w:rPr>
                <w:rFonts w:ascii="Verdana" w:eastAsia="Times New Roman" w:hAnsi="Verdana" w:cs="Arial"/>
                <w:b/>
                <w:bCs/>
              </w:rPr>
              <w:t>Amenazas</w:t>
            </w:r>
          </w:p>
        </w:tc>
      </w:tr>
      <w:tr w:rsidR="00392F43" w:rsidRPr="007413C1" w:rsidTr="00712B26">
        <w:trPr>
          <w:jc w:val="center"/>
        </w:trPr>
        <w:tc>
          <w:tcPr>
            <w:tcW w:w="2455" w:type="pct"/>
            <w:tcBorders>
              <w:top w:val="single" w:sz="4" w:space="0" w:color="FFFFFF"/>
              <w:bottom w:val="single" w:sz="4" w:space="0" w:color="244061"/>
              <w:right w:val="single" w:sz="4" w:space="0" w:color="244061"/>
            </w:tcBorders>
            <w:shd w:val="clear" w:color="auto" w:fill="auto"/>
            <w:noWrap/>
          </w:tcPr>
          <w:p w:rsidR="00392F43" w:rsidRPr="007413C1" w:rsidRDefault="00392F43" w:rsidP="00392F43">
            <w:pPr>
              <w:pStyle w:val="PRegNormal"/>
              <w:numPr>
                <w:ilvl w:val="0"/>
                <w:numId w:val="9"/>
              </w:numPr>
              <w:spacing w:before="0" w:line="360" w:lineRule="auto"/>
              <w:ind w:left="284" w:hanging="284"/>
              <w:rPr>
                <w:rFonts w:ascii="Verdana" w:hAnsi="Verdana"/>
                <w:color w:val="auto"/>
              </w:rPr>
            </w:pPr>
            <w:r w:rsidRPr="007413C1">
              <w:rPr>
                <w:rFonts w:ascii="Verdana" w:hAnsi="Verdana"/>
                <w:color w:val="auto"/>
              </w:rPr>
              <w:t>Obligatoriedad del servicio civil de carrera.</w:t>
            </w:r>
          </w:p>
          <w:p w:rsidR="00392F43" w:rsidRPr="007413C1" w:rsidRDefault="00392F43" w:rsidP="00392F43">
            <w:pPr>
              <w:pStyle w:val="PRegNormal"/>
              <w:numPr>
                <w:ilvl w:val="0"/>
                <w:numId w:val="9"/>
              </w:numPr>
              <w:spacing w:before="0" w:line="360" w:lineRule="auto"/>
              <w:ind w:left="284" w:hanging="284"/>
              <w:rPr>
                <w:rFonts w:ascii="Verdana" w:hAnsi="Verdana"/>
                <w:color w:val="auto"/>
              </w:rPr>
            </w:pPr>
            <w:r w:rsidRPr="007413C1">
              <w:rPr>
                <w:rFonts w:ascii="Verdana" w:hAnsi="Verdana"/>
                <w:color w:val="auto"/>
              </w:rPr>
              <w:t>Referentes municipales que se pueden tomar como ejemplo para el adecuado manejo de la hacienda pública.</w:t>
            </w:r>
          </w:p>
        </w:tc>
        <w:tc>
          <w:tcPr>
            <w:tcW w:w="89" w:type="pct"/>
            <w:tcBorders>
              <w:top w:val="single" w:sz="4" w:space="0" w:color="FFFFFF"/>
              <w:bottom w:val="single" w:sz="4" w:space="0" w:color="244061"/>
              <w:right w:val="single" w:sz="4" w:space="0" w:color="244061"/>
            </w:tcBorders>
          </w:tcPr>
          <w:p w:rsidR="00392F43" w:rsidRPr="007413C1" w:rsidRDefault="00392F43" w:rsidP="00712B26">
            <w:pPr>
              <w:pStyle w:val="PRegNormal"/>
              <w:spacing w:before="0" w:line="360" w:lineRule="auto"/>
              <w:ind w:left="142"/>
              <w:rPr>
                <w:rFonts w:ascii="Verdana" w:hAnsi="Verdana"/>
                <w:color w:val="auto"/>
              </w:rPr>
            </w:pPr>
          </w:p>
        </w:tc>
        <w:tc>
          <w:tcPr>
            <w:tcW w:w="2456" w:type="pct"/>
            <w:tcBorders>
              <w:top w:val="single" w:sz="4" w:space="0" w:color="FFFFFF"/>
              <w:left w:val="single" w:sz="4" w:space="0" w:color="244061"/>
              <w:bottom w:val="single" w:sz="4" w:space="0" w:color="244061"/>
            </w:tcBorders>
          </w:tcPr>
          <w:p w:rsidR="00392F43" w:rsidRPr="007413C1" w:rsidRDefault="00392F43" w:rsidP="00392F43">
            <w:pPr>
              <w:pStyle w:val="PRegNormal"/>
              <w:numPr>
                <w:ilvl w:val="0"/>
                <w:numId w:val="9"/>
              </w:numPr>
              <w:spacing w:before="0" w:line="360" w:lineRule="auto"/>
              <w:ind w:left="394" w:hanging="284"/>
              <w:rPr>
                <w:rFonts w:ascii="Verdana" w:hAnsi="Verdana"/>
                <w:color w:val="auto"/>
              </w:rPr>
            </w:pPr>
            <w:r w:rsidRPr="007413C1">
              <w:rPr>
                <w:rFonts w:ascii="Verdana" w:hAnsi="Verdana"/>
                <w:color w:val="auto"/>
              </w:rPr>
              <w:t>Municipios con buen manejo de las finanzas que aprovechan recursos para invertir en mejoras a sus municipios.</w:t>
            </w:r>
          </w:p>
        </w:tc>
      </w:tr>
    </w:tbl>
    <w:p w:rsidR="00392F43" w:rsidRPr="007413C1" w:rsidRDefault="00392F43" w:rsidP="00392F43">
      <w:pPr>
        <w:autoSpaceDE w:val="0"/>
        <w:autoSpaceDN w:val="0"/>
        <w:adjustRightInd w:val="0"/>
        <w:spacing w:after="0" w:line="360" w:lineRule="auto"/>
        <w:jc w:val="both"/>
        <w:rPr>
          <w:rFonts w:ascii="Verdana" w:hAnsi="Verdana" w:cs="Arial"/>
          <w:b/>
          <w:bCs/>
        </w:rPr>
      </w:pPr>
    </w:p>
    <w:p w:rsidR="00392F43" w:rsidRPr="007413C1" w:rsidRDefault="00392F43" w:rsidP="00392F43">
      <w:pPr>
        <w:autoSpaceDE w:val="0"/>
        <w:autoSpaceDN w:val="0"/>
        <w:adjustRightInd w:val="0"/>
        <w:spacing w:after="0" w:line="360" w:lineRule="auto"/>
        <w:jc w:val="both"/>
        <w:rPr>
          <w:rFonts w:ascii="Verdana" w:hAnsi="Verdana" w:cs="Arial"/>
          <w:b/>
          <w:bCs/>
        </w:rPr>
      </w:pPr>
      <w:r w:rsidRPr="007413C1">
        <w:rPr>
          <w:rFonts w:ascii="Verdana" w:hAnsi="Verdana" w:cs="Arial"/>
          <w:b/>
          <w:bCs/>
        </w:rPr>
        <w:t>Temas críticos</w:t>
      </w:r>
    </w:p>
    <w:p w:rsidR="00392F43" w:rsidRPr="007413C1" w:rsidRDefault="00392F43" w:rsidP="00392F43">
      <w:pPr>
        <w:autoSpaceDE w:val="0"/>
        <w:autoSpaceDN w:val="0"/>
        <w:adjustRightInd w:val="0"/>
        <w:spacing w:after="0" w:line="360" w:lineRule="auto"/>
        <w:jc w:val="both"/>
        <w:rPr>
          <w:rFonts w:ascii="Verdana" w:hAnsi="Verdana" w:cs="Arial"/>
          <w:bCs/>
        </w:rPr>
      </w:pPr>
      <w:r w:rsidRPr="007413C1">
        <w:rPr>
          <w:rFonts w:ascii="Verdana" w:hAnsi="Verdana" w:cs="Arial"/>
          <w:bCs/>
        </w:rPr>
        <w:t>El tema que se identifica como crítico es la forma inadecuada en el manejo de la administración de los recursos municipales como la generación, gestión y aplicación de los mismos.</w:t>
      </w:r>
    </w:p>
    <w:p w:rsidR="00EE6D1D" w:rsidRPr="007413C1" w:rsidRDefault="00EE6D1D" w:rsidP="00493AE2">
      <w:pPr>
        <w:jc w:val="both"/>
        <w:rPr>
          <w:rFonts w:ascii="Verdana" w:hAnsi="Verdana"/>
        </w:rPr>
      </w:pPr>
    </w:p>
    <w:p w:rsidR="00EE6D1D" w:rsidRPr="007413C1" w:rsidRDefault="00EE6D1D" w:rsidP="00493AE2">
      <w:pPr>
        <w:jc w:val="both"/>
        <w:rPr>
          <w:rFonts w:ascii="Verdana" w:hAnsi="Verdana"/>
        </w:rPr>
      </w:pPr>
    </w:p>
    <w:p w:rsidR="00015C21" w:rsidRPr="007413C1" w:rsidRDefault="00015C21" w:rsidP="004421C0">
      <w:pPr>
        <w:spacing w:line="360" w:lineRule="auto"/>
        <w:jc w:val="both"/>
        <w:rPr>
          <w:rFonts w:ascii="Verdana" w:hAnsi="Verdana"/>
        </w:rPr>
      </w:pPr>
    </w:p>
    <w:p w:rsidR="00493AE2" w:rsidRPr="007413C1" w:rsidRDefault="00083A1E" w:rsidP="004421C0">
      <w:pPr>
        <w:spacing w:line="360" w:lineRule="auto"/>
        <w:jc w:val="both"/>
        <w:rPr>
          <w:rFonts w:ascii="Verdana" w:hAnsi="Verdana"/>
          <w:b/>
        </w:rPr>
      </w:pPr>
      <w:r w:rsidRPr="007413C1">
        <w:rPr>
          <w:rFonts w:ascii="Verdana" w:hAnsi="Verdana"/>
          <w:b/>
        </w:rPr>
        <w:t>2.2. Evolución del problema.</w:t>
      </w:r>
    </w:p>
    <w:p w:rsidR="007029A0" w:rsidRPr="007413C1" w:rsidRDefault="007029A0" w:rsidP="004421C0">
      <w:pPr>
        <w:spacing w:line="360" w:lineRule="auto"/>
        <w:jc w:val="both"/>
        <w:rPr>
          <w:rFonts w:ascii="Verdana" w:hAnsi="Verdana"/>
        </w:rPr>
      </w:pPr>
      <w:r w:rsidRPr="007413C1">
        <w:rPr>
          <w:rFonts w:ascii="Verdana" w:hAnsi="Verdana"/>
        </w:rPr>
        <w:t xml:space="preserve">La problemática que se tiene en la coordinación de cuenta pública es evidente en la actualidad ya que en el ejercicio 2014 y 2015 se procesaba la información contable-financiera en tiempo y forma y se podía realizar la entrega de cuenta </w:t>
      </w:r>
      <w:r w:rsidR="001B7FC7" w:rsidRPr="007413C1">
        <w:rPr>
          <w:rFonts w:ascii="Verdana" w:hAnsi="Verdana"/>
        </w:rPr>
        <w:t>pública</w:t>
      </w:r>
      <w:r w:rsidRPr="007413C1">
        <w:rPr>
          <w:rFonts w:ascii="Verdana" w:hAnsi="Verdana"/>
        </w:rPr>
        <w:t xml:space="preserve"> en el periodo estipulado para ello, es decir se cumplía con dicha obligación sin problema alguno.</w:t>
      </w:r>
    </w:p>
    <w:p w:rsidR="007029A0" w:rsidRPr="007413C1" w:rsidRDefault="007029A0" w:rsidP="004421C0">
      <w:pPr>
        <w:spacing w:line="360" w:lineRule="auto"/>
        <w:jc w:val="both"/>
        <w:rPr>
          <w:rFonts w:ascii="Verdana" w:hAnsi="Verdana"/>
        </w:rPr>
      </w:pPr>
      <w:r w:rsidRPr="007413C1">
        <w:rPr>
          <w:rFonts w:ascii="Verdana" w:hAnsi="Verdana"/>
        </w:rPr>
        <w:t xml:space="preserve">En el ejercicio 2016 a raíz de cambios en la normativa de leyes </w:t>
      </w:r>
      <w:r w:rsidR="001B7FC7" w:rsidRPr="007413C1">
        <w:rPr>
          <w:rFonts w:ascii="Verdana" w:hAnsi="Verdana"/>
        </w:rPr>
        <w:t xml:space="preserve">aplicables </w:t>
      </w:r>
      <w:r w:rsidR="00284CDF" w:rsidRPr="007413C1">
        <w:rPr>
          <w:rFonts w:ascii="Verdana" w:hAnsi="Verdana"/>
        </w:rPr>
        <w:t xml:space="preserve">y a raíz del cambio de administración se empezaron a retrasar los procesos de la entrega </w:t>
      </w:r>
      <w:r w:rsidR="00EE6D1D" w:rsidRPr="007413C1">
        <w:rPr>
          <w:rFonts w:ascii="Verdana" w:hAnsi="Verdana"/>
        </w:rPr>
        <w:t>de los reportes financieros.</w:t>
      </w:r>
    </w:p>
    <w:p w:rsidR="00EE6D1D" w:rsidRPr="007413C1" w:rsidRDefault="00EE6D1D" w:rsidP="004421C0">
      <w:pPr>
        <w:spacing w:line="360" w:lineRule="auto"/>
        <w:jc w:val="both"/>
        <w:rPr>
          <w:rFonts w:ascii="Verdana" w:hAnsi="Verdana"/>
        </w:rPr>
      </w:pPr>
    </w:p>
    <w:p w:rsidR="00EE6D1D" w:rsidRPr="007413C1" w:rsidRDefault="00EE6D1D" w:rsidP="004421C0">
      <w:pPr>
        <w:spacing w:line="360" w:lineRule="auto"/>
        <w:jc w:val="both"/>
        <w:rPr>
          <w:rFonts w:ascii="Verdana" w:hAnsi="Verdana"/>
        </w:rPr>
      </w:pPr>
    </w:p>
    <w:p w:rsidR="00EE6D1D" w:rsidRPr="007413C1" w:rsidRDefault="00EE6D1D" w:rsidP="00493AE2">
      <w:pPr>
        <w:jc w:val="both"/>
        <w:rPr>
          <w:rFonts w:ascii="Verdana" w:hAnsi="Verdana"/>
        </w:rPr>
      </w:pPr>
    </w:p>
    <w:p w:rsidR="00EE6D1D" w:rsidRPr="007413C1" w:rsidRDefault="00EE6D1D" w:rsidP="00493AE2">
      <w:pPr>
        <w:jc w:val="both"/>
        <w:rPr>
          <w:rFonts w:ascii="Verdana" w:hAnsi="Verdana"/>
        </w:rPr>
      </w:pPr>
    </w:p>
    <w:p w:rsidR="00EE6D1D" w:rsidRPr="007413C1" w:rsidRDefault="00EE6D1D" w:rsidP="00493AE2">
      <w:pPr>
        <w:jc w:val="both"/>
        <w:rPr>
          <w:rFonts w:ascii="Verdana" w:hAnsi="Verdana"/>
        </w:rPr>
      </w:pPr>
    </w:p>
    <w:p w:rsidR="00EE6D1D" w:rsidRPr="007413C1" w:rsidRDefault="00EE6D1D" w:rsidP="00493AE2">
      <w:pPr>
        <w:jc w:val="both"/>
        <w:rPr>
          <w:rFonts w:ascii="Verdana" w:hAnsi="Verdana"/>
        </w:rPr>
      </w:pPr>
    </w:p>
    <w:p w:rsidR="00EE6D1D" w:rsidRPr="007413C1" w:rsidRDefault="00EE6D1D" w:rsidP="00493AE2">
      <w:pPr>
        <w:jc w:val="both"/>
        <w:rPr>
          <w:rFonts w:ascii="Verdana" w:hAnsi="Verdana"/>
        </w:rPr>
      </w:pPr>
    </w:p>
    <w:p w:rsidR="00EE6D1D" w:rsidRPr="007413C1" w:rsidRDefault="00EE6D1D" w:rsidP="00493AE2">
      <w:pPr>
        <w:jc w:val="both"/>
        <w:rPr>
          <w:rFonts w:ascii="Verdana" w:hAnsi="Verdana"/>
        </w:rPr>
      </w:pPr>
    </w:p>
    <w:p w:rsidR="00EE6D1D" w:rsidRPr="007413C1" w:rsidRDefault="00EE6D1D" w:rsidP="00493AE2">
      <w:pPr>
        <w:jc w:val="both"/>
        <w:rPr>
          <w:rFonts w:ascii="Verdana" w:hAnsi="Verdana"/>
        </w:rPr>
      </w:pPr>
    </w:p>
    <w:p w:rsidR="00EE6D1D" w:rsidRPr="007413C1" w:rsidRDefault="00EE6D1D" w:rsidP="00493AE2">
      <w:pPr>
        <w:jc w:val="both"/>
        <w:rPr>
          <w:rFonts w:ascii="Verdana" w:hAnsi="Verdana"/>
        </w:rPr>
      </w:pPr>
    </w:p>
    <w:p w:rsidR="00EE6D1D" w:rsidRPr="007413C1" w:rsidRDefault="00EE6D1D" w:rsidP="00493AE2">
      <w:pPr>
        <w:jc w:val="both"/>
        <w:rPr>
          <w:rFonts w:ascii="Verdana" w:hAnsi="Verdana"/>
        </w:rPr>
      </w:pPr>
    </w:p>
    <w:p w:rsidR="00EE6D1D" w:rsidRPr="007413C1" w:rsidRDefault="00EE6D1D" w:rsidP="00493AE2">
      <w:pPr>
        <w:jc w:val="both"/>
        <w:rPr>
          <w:rFonts w:ascii="Verdana" w:hAnsi="Verdana"/>
        </w:rPr>
      </w:pPr>
    </w:p>
    <w:p w:rsidR="00EE6D1D" w:rsidRPr="007413C1" w:rsidRDefault="00EE6D1D" w:rsidP="00493AE2">
      <w:pPr>
        <w:jc w:val="both"/>
        <w:rPr>
          <w:rFonts w:ascii="Verdana" w:hAnsi="Verdana"/>
        </w:rPr>
      </w:pPr>
    </w:p>
    <w:p w:rsidR="00EE6D1D" w:rsidRPr="007413C1" w:rsidRDefault="00EE6D1D" w:rsidP="00493AE2">
      <w:pPr>
        <w:jc w:val="both"/>
        <w:rPr>
          <w:rFonts w:ascii="Verdana" w:hAnsi="Verdana"/>
        </w:rPr>
      </w:pPr>
    </w:p>
    <w:p w:rsidR="00E76D10" w:rsidRPr="007413C1" w:rsidRDefault="00E76D10" w:rsidP="00493AE2">
      <w:pPr>
        <w:jc w:val="both"/>
        <w:rPr>
          <w:rFonts w:ascii="Verdana" w:hAnsi="Verdana"/>
        </w:rPr>
      </w:pPr>
    </w:p>
    <w:p w:rsidR="00493AE2" w:rsidRPr="007413C1" w:rsidRDefault="00493AE2" w:rsidP="00493AE2">
      <w:pPr>
        <w:jc w:val="both"/>
        <w:rPr>
          <w:rFonts w:ascii="Verdana" w:hAnsi="Verdana"/>
        </w:rPr>
      </w:pPr>
    </w:p>
    <w:p w:rsidR="00D575AF" w:rsidRPr="007413C1" w:rsidRDefault="00D575AF" w:rsidP="00493AE2">
      <w:pPr>
        <w:jc w:val="both"/>
        <w:rPr>
          <w:rFonts w:ascii="Verdana" w:hAnsi="Verdana"/>
        </w:rPr>
      </w:pPr>
    </w:p>
    <w:p w:rsidR="00D575AF" w:rsidRPr="007413C1" w:rsidRDefault="00D575AF" w:rsidP="00493AE2">
      <w:pPr>
        <w:jc w:val="both"/>
        <w:rPr>
          <w:rFonts w:ascii="Verdana" w:hAnsi="Verdana"/>
        </w:rPr>
      </w:pPr>
    </w:p>
    <w:p w:rsidR="00D575AF" w:rsidRPr="007413C1" w:rsidRDefault="00D575AF" w:rsidP="00493AE2">
      <w:pPr>
        <w:jc w:val="both"/>
        <w:rPr>
          <w:rFonts w:ascii="Verdana" w:hAnsi="Verdana"/>
        </w:rPr>
      </w:pPr>
    </w:p>
    <w:p w:rsidR="00D575AF" w:rsidRPr="007413C1" w:rsidRDefault="00D575AF" w:rsidP="00493AE2">
      <w:pPr>
        <w:jc w:val="both"/>
        <w:rPr>
          <w:rFonts w:ascii="Verdana" w:hAnsi="Verdana"/>
        </w:rPr>
      </w:pPr>
    </w:p>
    <w:p w:rsidR="00D575AF" w:rsidRPr="007413C1" w:rsidRDefault="00D575AF" w:rsidP="00493AE2">
      <w:pPr>
        <w:jc w:val="both"/>
        <w:rPr>
          <w:rFonts w:ascii="Verdana" w:hAnsi="Verdana"/>
        </w:rPr>
      </w:pPr>
    </w:p>
    <w:p w:rsidR="00493AE2" w:rsidRPr="007413C1" w:rsidRDefault="00493AE2" w:rsidP="00493AE2">
      <w:pPr>
        <w:rPr>
          <w:rFonts w:ascii="Verdana" w:hAnsi="Verdana"/>
          <w:b/>
        </w:rPr>
      </w:pPr>
      <w:r w:rsidRPr="007413C1">
        <w:rPr>
          <w:rFonts w:ascii="Verdana" w:hAnsi="Verdana"/>
          <w:b/>
        </w:rPr>
        <w:t>2.3. Experiencias de atención.</w:t>
      </w:r>
    </w:p>
    <w:p w:rsidR="00706BAD" w:rsidRPr="007413C1" w:rsidRDefault="00706BAD" w:rsidP="00493AE2">
      <w:pPr>
        <w:rPr>
          <w:rFonts w:ascii="Verdana" w:hAnsi="Verdana"/>
          <w:b/>
        </w:rPr>
      </w:pPr>
    </w:p>
    <w:p w:rsidR="00706BAD" w:rsidRPr="007413C1" w:rsidRDefault="00706BAD" w:rsidP="00493AE2">
      <w:pPr>
        <w:rPr>
          <w:rFonts w:ascii="Verdana" w:hAnsi="Verdana"/>
        </w:rPr>
      </w:pPr>
      <w:r w:rsidRPr="007413C1">
        <w:rPr>
          <w:rFonts w:ascii="Verdana" w:hAnsi="Verdana"/>
        </w:rPr>
        <w:t>“LA ARMONIZACIÓN CONTABLE EN EL ESTADO DE GUANAJUATO” SECRETARÍA DE FINANZAS Y ADMINISTRACIÓN</w:t>
      </w:r>
    </w:p>
    <w:p w:rsidR="00706BAD" w:rsidRPr="007413C1" w:rsidRDefault="00706BAD" w:rsidP="00B03E43">
      <w:pPr>
        <w:pStyle w:val="Prrafodelista"/>
        <w:numPr>
          <w:ilvl w:val="0"/>
          <w:numId w:val="8"/>
        </w:numPr>
        <w:spacing w:line="360" w:lineRule="auto"/>
        <w:ind w:left="714" w:hanging="357"/>
        <w:rPr>
          <w:rFonts w:ascii="Verdana" w:hAnsi="Verdana"/>
          <w:b/>
          <w:sz w:val="22"/>
          <w:szCs w:val="22"/>
        </w:rPr>
      </w:pPr>
      <w:r w:rsidRPr="007413C1">
        <w:rPr>
          <w:rFonts w:ascii="Verdana" w:hAnsi="Verdana"/>
          <w:sz w:val="22"/>
          <w:szCs w:val="22"/>
        </w:rPr>
        <w:t>Periodo de Vigencia que se documenta: Del 01 de enero de 2008 al 30 de abril 2012.</w:t>
      </w:r>
    </w:p>
    <w:p w:rsidR="00706BAD" w:rsidRPr="007413C1" w:rsidRDefault="00706BAD" w:rsidP="00B03E43">
      <w:pPr>
        <w:pStyle w:val="Prrafodelista"/>
        <w:numPr>
          <w:ilvl w:val="0"/>
          <w:numId w:val="8"/>
        </w:numPr>
        <w:spacing w:line="360" w:lineRule="auto"/>
        <w:ind w:left="714" w:hanging="357"/>
        <w:rPr>
          <w:rFonts w:ascii="Verdana" w:hAnsi="Verdana"/>
          <w:b/>
          <w:sz w:val="22"/>
          <w:szCs w:val="22"/>
        </w:rPr>
      </w:pPr>
      <w:r w:rsidRPr="007413C1">
        <w:rPr>
          <w:rFonts w:ascii="Verdana" w:hAnsi="Verdana"/>
          <w:sz w:val="22"/>
          <w:szCs w:val="22"/>
        </w:rPr>
        <w:t>Cobertura Geográfica: Todo el Estado de Guanajuato</w:t>
      </w:r>
      <w:r w:rsidR="00071269" w:rsidRPr="007413C1">
        <w:rPr>
          <w:rFonts w:ascii="Verdana" w:hAnsi="Verdana"/>
          <w:sz w:val="22"/>
          <w:szCs w:val="22"/>
        </w:rPr>
        <w:t>.</w:t>
      </w:r>
      <w:r w:rsidRPr="007413C1">
        <w:rPr>
          <w:rFonts w:ascii="Verdana" w:hAnsi="Verdana"/>
          <w:sz w:val="22"/>
          <w:szCs w:val="22"/>
        </w:rPr>
        <w:t xml:space="preserve"> </w:t>
      </w:r>
    </w:p>
    <w:p w:rsidR="00706BAD" w:rsidRPr="007413C1" w:rsidRDefault="00706BAD" w:rsidP="00B03E43">
      <w:pPr>
        <w:pStyle w:val="Prrafodelista"/>
        <w:numPr>
          <w:ilvl w:val="0"/>
          <w:numId w:val="8"/>
        </w:numPr>
        <w:spacing w:line="360" w:lineRule="auto"/>
        <w:ind w:left="714" w:hanging="357"/>
        <w:rPr>
          <w:rFonts w:ascii="Verdana" w:hAnsi="Verdana"/>
          <w:b/>
          <w:sz w:val="22"/>
          <w:szCs w:val="22"/>
        </w:rPr>
      </w:pPr>
      <w:r w:rsidRPr="007413C1">
        <w:rPr>
          <w:rFonts w:ascii="Verdana" w:hAnsi="Verdana"/>
          <w:sz w:val="22"/>
          <w:szCs w:val="22"/>
        </w:rPr>
        <w:t>Unidades Administrativas Participantes Dirección General de Contabilidad Gubernamental</w:t>
      </w:r>
      <w:r w:rsidR="00071269" w:rsidRPr="007413C1">
        <w:rPr>
          <w:rFonts w:ascii="Verdana" w:hAnsi="Verdana"/>
          <w:sz w:val="22"/>
          <w:szCs w:val="22"/>
        </w:rPr>
        <w:t>.</w:t>
      </w:r>
      <w:r w:rsidRPr="007413C1">
        <w:rPr>
          <w:rFonts w:ascii="Verdana" w:hAnsi="Verdana"/>
          <w:sz w:val="22"/>
          <w:szCs w:val="22"/>
        </w:rPr>
        <w:t xml:space="preserve"> </w:t>
      </w:r>
    </w:p>
    <w:p w:rsidR="00706BAD" w:rsidRPr="007413C1" w:rsidRDefault="00706BAD" w:rsidP="00B03E43">
      <w:pPr>
        <w:pStyle w:val="Prrafodelista"/>
        <w:numPr>
          <w:ilvl w:val="0"/>
          <w:numId w:val="8"/>
        </w:numPr>
        <w:spacing w:line="360" w:lineRule="auto"/>
        <w:ind w:left="714" w:hanging="357"/>
        <w:rPr>
          <w:rFonts w:ascii="Verdana" w:hAnsi="Verdana"/>
          <w:b/>
          <w:sz w:val="22"/>
          <w:szCs w:val="22"/>
        </w:rPr>
      </w:pPr>
      <w:r w:rsidRPr="007413C1">
        <w:rPr>
          <w:rFonts w:ascii="Verdana" w:hAnsi="Verdana"/>
          <w:sz w:val="22"/>
          <w:szCs w:val="22"/>
        </w:rPr>
        <w:t>Vinculación con el Plan Estatal de Desarrollo y Plan de Gobierno PED Plan de Gobierno 2006-2012 Eje Estratégico V, Contigo Vamos Seguridad, Justicia, Democracia y Buen Gobierno</w:t>
      </w:r>
      <w:r w:rsidR="00071269" w:rsidRPr="007413C1">
        <w:rPr>
          <w:rFonts w:ascii="Verdana" w:hAnsi="Verdana"/>
          <w:sz w:val="22"/>
          <w:szCs w:val="22"/>
        </w:rPr>
        <w:t>.</w:t>
      </w:r>
    </w:p>
    <w:p w:rsidR="00706BAD" w:rsidRPr="007413C1" w:rsidRDefault="00706BAD" w:rsidP="00706BAD">
      <w:pPr>
        <w:pStyle w:val="Prrafodelista"/>
        <w:ind w:left="720"/>
        <w:rPr>
          <w:rFonts w:ascii="Verdana" w:hAnsi="Verdana"/>
          <w:b/>
          <w:sz w:val="22"/>
          <w:szCs w:val="22"/>
        </w:rPr>
      </w:pPr>
    </w:p>
    <w:p w:rsidR="005D3276" w:rsidRPr="007413C1" w:rsidRDefault="005D3276" w:rsidP="00720E27">
      <w:pPr>
        <w:spacing w:line="360" w:lineRule="auto"/>
        <w:jc w:val="both"/>
        <w:rPr>
          <w:rFonts w:ascii="Verdana" w:hAnsi="Verdana"/>
        </w:rPr>
      </w:pPr>
      <w:r w:rsidRPr="007413C1">
        <w:rPr>
          <w:rFonts w:ascii="Verdana" w:hAnsi="Verdana"/>
        </w:rPr>
        <w:t xml:space="preserve">El Estado de Guanajuato ha presentado un gran avance en el proceso de armonización contable en virtud de la coordinación entre los diversos entes públicos del Estado, lo cual redundará en el fortalecimiento de los sistemas de información y rendición de cuentas públicas. El Estado de Guanajuato ha dado cumplimiento en la publicación, adopción e implementación de los documentos que norman la contabilidad gubernamental emitidos por el Consejo Nacional de Armonización Contable, lo cual se puede constatar en las páginas informativas del mismo. Los Poderes Ejecutivo, Legislativo y Judicial, los Órganos Autónomos y los Municipios han realizado la configuración y parametrización en sus sistemas de información conforme a las características de estructura, diseño y operación que indica la Ley General de Contabilidad Gubernamental. La adecuación de las estructuras contables y presupuestales en el marco de la armonización implicaron la modificación en los procesos de registro identificando así las etapas presupuestales del ingreso y del egreso. El Estado de Guanajuato se ha consolidado en el ámbito nacional en virtud de que a partir de 2011 ha generado la información financiera conforme a la normativa aplicable emitida por el </w:t>
      </w:r>
      <w:r w:rsidRPr="007413C1">
        <w:rPr>
          <w:rFonts w:ascii="Verdana" w:hAnsi="Verdana"/>
        </w:rPr>
        <w:lastRenderedPageBreak/>
        <w:t>CONAC, fortaleciendo así su rendición de cuentas. Cabe señalar que se continúa trabajando en este cambio trascendental que es el proceso de armonización, para atender en tiempo y forma el nuevo esquema de la contabilidad gubernamental bajo los estándares más avanzados a nivel nacional e internacional y generando así, los beneficios en materia de información financiera, transparencia y rendición de cuent</w:t>
      </w:r>
      <w:r w:rsidR="00284CDF" w:rsidRPr="007413C1">
        <w:rPr>
          <w:rFonts w:ascii="Verdana" w:hAnsi="Verdana"/>
        </w:rPr>
        <w:t>as.</w:t>
      </w:r>
    </w:p>
    <w:p w:rsidR="00284CDF" w:rsidRPr="007413C1" w:rsidRDefault="00284CDF" w:rsidP="00720E27">
      <w:pPr>
        <w:spacing w:line="360" w:lineRule="auto"/>
        <w:jc w:val="both"/>
        <w:rPr>
          <w:rFonts w:ascii="Verdana" w:hAnsi="Verdana"/>
        </w:rPr>
      </w:pPr>
      <w:r w:rsidRPr="007413C1">
        <w:rPr>
          <w:rFonts w:ascii="Verdana" w:hAnsi="Verdana"/>
        </w:rPr>
        <w:t xml:space="preserve">La rendición de cuentas en forma clara y </w:t>
      </w:r>
      <w:r w:rsidR="00762288" w:rsidRPr="007413C1">
        <w:rPr>
          <w:rFonts w:ascii="Verdana" w:hAnsi="Verdana"/>
        </w:rPr>
        <w:t>oportuna</w:t>
      </w:r>
      <w:r w:rsidRPr="007413C1">
        <w:rPr>
          <w:rFonts w:ascii="Verdana" w:hAnsi="Verdana"/>
        </w:rPr>
        <w:t xml:space="preserve"> confirma el compromiso de la presente administración para transparentar el uso de los recursos públicos y fomentar la confianza de la sociedad en sus instituciones. El Gobierno del Estado de Guanajuato ha sido reconocido a nivel nacional por los avances en el proceso de la Armonización Contable reiterando los principios éticos que rigen su administración para hacer públicas las decisiones de su competencia. Uno de los problemas en 2006 fue que la contabilidad gubernamental entre los distintos gobiernos no era susceptible de ser comparada, ya que se empleaban términos, metodologías, criterios y formatos de presentación diferentes. Tal complicación impedía la transparencia máxima y dificultaba enormemente la rendición de cuentas para la evaluación y fiscalización de los gastos. Es por eso que la propuesta de Reforma Integral de la Hacienda Pública introdujo un elemento innovador para mejorar la transparencia con que los entes públicos elaboran la información financiera, presupuestaria y patrimonial al incorporar una adición al Artículo 73 Constitucional. Para cumplir con ese mandato constitucional el Gobierno Federal proponía que el H. Congreso de la Unión expidiera las leyes que se requieran para normar la contabilidad gubernamental, armonizando los sistemas contables públicos, así como la presentación de información financiera, presupuestaria y patrimonial en los tres órdenes de gobierno. Esta propuesta quedaría reglamentada a través de una ley general que expediría el Poder Legislativo en un periodo de un año a partir de la entrada en vigor de la reforma constitucional, con el objeto de uniformar los términos y la metodología con la que se elaboraba y presentaba la información pública en materia financiera, presupuestaria y patrimonial. La unificación de criterios ayudaría a obtener información precisa y homogénea de las finanzas públicas a nivel nacional, al tiempo que evitaría los malos manejos y la opacidad en la ejecución de los </w:t>
      </w:r>
      <w:r w:rsidRPr="007413C1">
        <w:rPr>
          <w:rFonts w:ascii="Verdana" w:hAnsi="Verdana"/>
        </w:rPr>
        <w:lastRenderedPageBreak/>
        <w:t>recursos que muchas veces se cobijaba con la aplicación de ciertos criterios particulares. Al homologar los procesos contables mediante los mismos criterios, será más difícil para los servidores públicos manipular el destino de los recursos para su beneficio personal. Este tipo de conductas serán cada vez menos vistas y más difíciles de lograr, evitando así el derroche de recursos públicos en detrimento de los más necesitados. Así, la homologación de los procesos contables de todo el Sector Público se convierte en una herramienta indispensable para la efectiva rendición de cuentas, pues al contar con datos y formatos comparables además de que se fortalece la transparencia gubernamental, se 2 facilita tanto el escrutinio público como las funciones de fiscalización de los órganos de los diferentes órdenes de gobierno. El presente documento nos muestra la metodología y la aplicación en una plataforma informática de 2009 a 2012 en el esquema de armonización contable, hasta llegar a ser reconocido el Estado de Guanajuato por su avance implementado y por el intercambio de experiencias a lo largo del país.</w:t>
      </w:r>
    </w:p>
    <w:p w:rsidR="00284CDF" w:rsidRPr="007413C1" w:rsidRDefault="00284CDF" w:rsidP="00720E27">
      <w:pPr>
        <w:spacing w:line="360" w:lineRule="auto"/>
        <w:jc w:val="both"/>
        <w:rPr>
          <w:rFonts w:ascii="Verdana" w:hAnsi="Verdana"/>
          <w:b/>
        </w:rPr>
      </w:pPr>
    </w:p>
    <w:p w:rsidR="005D3276" w:rsidRPr="007413C1" w:rsidRDefault="005D3276" w:rsidP="00493AE2">
      <w:pPr>
        <w:rPr>
          <w:rFonts w:ascii="Verdana" w:hAnsi="Verdana"/>
          <w:b/>
        </w:rPr>
      </w:pPr>
    </w:p>
    <w:p w:rsidR="00284CDF" w:rsidRPr="007413C1" w:rsidRDefault="00284CDF" w:rsidP="00493AE2">
      <w:pPr>
        <w:rPr>
          <w:rFonts w:ascii="Verdana" w:hAnsi="Verdana"/>
          <w:b/>
        </w:rPr>
      </w:pPr>
    </w:p>
    <w:p w:rsidR="00284CDF" w:rsidRPr="007413C1" w:rsidRDefault="00284CDF" w:rsidP="00493AE2">
      <w:pPr>
        <w:rPr>
          <w:rFonts w:ascii="Verdana" w:hAnsi="Verdana"/>
          <w:b/>
        </w:rPr>
      </w:pPr>
    </w:p>
    <w:p w:rsidR="00284CDF" w:rsidRPr="007413C1" w:rsidRDefault="00284CDF" w:rsidP="00493AE2">
      <w:pPr>
        <w:rPr>
          <w:rFonts w:ascii="Verdana" w:hAnsi="Verdana"/>
          <w:b/>
        </w:rPr>
      </w:pPr>
    </w:p>
    <w:p w:rsidR="00284CDF" w:rsidRPr="007413C1" w:rsidRDefault="00284CDF" w:rsidP="00493AE2">
      <w:pPr>
        <w:rPr>
          <w:rFonts w:ascii="Verdana" w:hAnsi="Verdana"/>
          <w:b/>
        </w:rPr>
      </w:pPr>
    </w:p>
    <w:p w:rsidR="00284CDF" w:rsidRPr="007413C1" w:rsidRDefault="00284CDF" w:rsidP="00493AE2">
      <w:pPr>
        <w:rPr>
          <w:rFonts w:ascii="Verdana" w:hAnsi="Verdana"/>
          <w:b/>
        </w:rPr>
      </w:pPr>
    </w:p>
    <w:p w:rsidR="00284CDF" w:rsidRPr="007413C1" w:rsidRDefault="00284CDF" w:rsidP="00493AE2">
      <w:pPr>
        <w:rPr>
          <w:rFonts w:ascii="Verdana" w:hAnsi="Verdana"/>
          <w:b/>
        </w:rPr>
      </w:pPr>
    </w:p>
    <w:p w:rsidR="00284CDF" w:rsidRPr="007413C1" w:rsidRDefault="00284CDF" w:rsidP="00493AE2">
      <w:pPr>
        <w:rPr>
          <w:rFonts w:ascii="Verdana" w:hAnsi="Verdana"/>
          <w:b/>
        </w:rPr>
      </w:pPr>
    </w:p>
    <w:p w:rsidR="00284CDF" w:rsidRPr="007413C1" w:rsidRDefault="00284CDF" w:rsidP="00493AE2">
      <w:pPr>
        <w:rPr>
          <w:rFonts w:ascii="Verdana" w:hAnsi="Verdana"/>
          <w:b/>
        </w:rPr>
      </w:pPr>
    </w:p>
    <w:p w:rsidR="00D575AF" w:rsidRPr="007413C1" w:rsidRDefault="00D575AF" w:rsidP="00493AE2">
      <w:pPr>
        <w:rPr>
          <w:rFonts w:ascii="Verdana" w:hAnsi="Verdana"/>
          <w:b/>
        </w:rPr>
      </w:pPr>
    </w:p>
    <w:p w:rsidR="00D575AF" w:rsidRPr="007413C1" w:rsidRDefault="00D575AF" w:rsidP="00493AE2">
      <w:pPr>
        <w:rPr>
          <w:rFonts w:ascii="Verdana" w:hAnsi="Verdana"/>
          <w:b/>
        </w:rPr>
      </w:pPr>
    </w:p>
    <w:p w:rsidR="00D575AF" w:rsidRPr="007413C1" w:rsidRDefault="00D575AF" w:rsidP="00493AE2">
      <w:pPr>
        <w:rPr>
          <w:rFonts w:ascii="Verdana" w:hAnsi="Verdana"/>
          <w:b/>
        </w:rPr>
      </w:pPr>
    </w:p>
    <w:p w:rsidR="00D575AF" w:rsidRPr="007413C1" w:rsidRDefault="00D575AF" w:rsidP="00493AE2">
      <w:pPr>
        <w:rPr>
          <w:rFonts w:ascii="Verdana" w:hAnsi="Verdana"/>
          <w:b/>
        </w:rPr>
      </w:pPr>
    </w:p>
    <w:p w:rsidR="00D575AF" w:rsidRPr="007413C1" w:rsidRDefault="00D575AF" w:rsidP="00493AE2">
      <w:pPr>
        <w:rPr>
          <w:rFonts w:ascii="Verdana" w:hAnsi="Verdana"/>
          <w:b/>
        </w:rPr>
      </w:pPr>
    </w:p>
    <w:p w:rsidR="00284CDF" w:rsidRPr="007413C1" w:rsidRDefault="00543654" w:rsidP="00493AE2">
      <w:pPr>
        <w:rPr>
          <w:rFonts w:ascii="Verdana" w:hAnsi="Verdana"/>
          <w:b/>
        </w:rPr>
      </w:pPr>
      <w:r>
        <w:rPr>
          <w:rFonts w:ascii="Verdana" w:hAnsi="Verdana"/>
          <w:b/>
        </w:rPr>
        <w:lastRenderedPageBreak/>
        <w:t>DISEÑO DE ÑA INTERVENCIÓN</w:t>
      </w:r>
    </w:p>
    <w:p w:rsidR="00493AE2" w:rsidRPr="007413C1" w:rsidRDefault="00493AE2" w:rsidP="00493AE2">
      <w:pPr>
        <w:rPr>
          <w:rFonts w:ascii="Verdana" w:hAnsi="Verdana"/>
          <w:b/>
        </w:rPr>
      </w:pPr>
      <w:r w:rsidRPr="007413C1">
        <w:rPr>
          <w:rFonts w:ascii="Verdana" w:hAnsi="Verdana"/>
          <w:b/>
        </w:rPr>
        <w:t>2.4. Árbol de problemas</w:t>
      </w:r>
    </w:p>
    <w:p w:rsidR="00284CDF" w:rsidRPr="007413C1" w:rsidRDefault="00284CDF" w:rsidP="00493AE2">
      <w:pPr>
        <w:rPr>
          <w:rFonts w:ascii="Verdana" w:hAnsi="Verdana"/>
          <w:b/>
        </w:rPr>
      </w:pPr>
      <w:r w:rsidRPr="007413C1">
        <w:rPr>
          <w:rFonts w:ascii="Verdana" w:hAnsi="Verdana"/>
          <w:noProof/>
        </w:rPr>
        <w:drawing>
          <wp:anchor distT="0" distB="0" distL="114300" distR="114300" simplePos="0" relativeHeight="251663360" behindDoc="0" locked="0" layoutInCell="1" allowOverlap="1">
            <wp:simplePos x="0" y="0"/>
            <wp:positionH relativeFrom="column">
              <wp:posOffset>-727710</wp:posOffset>
            </wp:positionH>
            <wp:positionV relativeFrom="paragraph">
              <wp:posOffset>342265</wp:posOffset>
            </wp:positionV>
            <wp:extent cx="7105650" cy="6324600"/>
            <wp:effectExtent l="0" t="0" r="0" b="0"/>
            <wp:wrapThrough wrapText="bothSides">
              <wp:wrapPolygon edited="0">
                <wp:start x="0" y="0"/>
                <wp:lineTo x="0" y="21535"/>
                <wp:lineTo x="19052" y="21535"/>
                <wp:lineTo x="19168" y="20819"/>
                <wp:lineTo x="21542" y="19843"/>
                <wp:lineTo x="21542" y="18672"/>
                <wp:lineTo x="19052" y="17696"/>
                <wp:lineTo x="19052" y="16655"/>
                <wp:lineTo x="21542" y="16330"/>
                <wp:lineTo x="21542" y="15614"/>
                <wp:lineTo x="19052" y="15614"/>
                <wp:lineTo x="20384" y="14899"/>
                <wp:lineTo x="20384" y="14573"/>
                <wp:lineTo x="19052" y="14573"/>
                <wp:lineTo x="21542" y="13923"/>
                <wp:lineTo x="21542" y="13793"/>
                <wp:lineTo x="19052" y="13533"/>
                <wp:lineTo x="21542" y="13337"/>
                <wp:lineTo x="21542" y="13207"/>
                <wp:lineTo x="19052" y="12492"/>
                <wp:lineTo x="20673" y="12166"/>
                <wp:lineTo x="20673" y="11906"/>
                <wp:lineTo x="19052" y="11451"/>
                <wp:lineTo x="20558" y="11451"/>
                <wp:lineTo x="21542" y="11060"/>
                <wp:lineTo x="21542" y="10410"/>
                <wp:lineTo x="20731" y="9239"/>
                <wp:lineTo x="19052" y="8328"/>
                <wp:lineTo x="21542" y="8263"/>
                <wp:lineTo x="21542" y="7547"/>
                <wp:lineTo x="19052" y="7287"/>
                <wp:lineTo x="19342" y="7287"/>
                <wp:lineTo x="20731" y="6441"/>
                <wp:lineTo x="20731" y="6246"/>
                <wp:lineTo x="19052" y="5205"/>
                <wp:lineTo x="21542" y="5205"/>
                <wp:lineTo x="21542" y="4489"/>
                <wp:lineTo x="19052" y="4164"/>
                <wp:lineTo x="20442" y="3643"/>
                <wp:lineTo x="20442" y="3383"/>
                <wp:lineTo x="19052" y="3123"/>
                <wp:lineTo x="21542" y="2537"/>
                <wp:lineTo x="21542" y="2407"/>
                <wp:lineTo x="19052" y="2082"/>
                <wp:lineTo x="21542" y="1236"/>
                <wp:lineTo x="21542" y="1106"/>
                <wp:lineTo x="19168" y="1041"/>
                <wp:lineTo x="21542" y="65"/>
                <wp:lineTo x="2154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5650" cy="632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CDF" w:rsidRPr="007413C1" w:rsidRDefault="00284CDF" w:rsidP="00493AE2">
      <w:pPr>
        <w:rPr>
          <w:rFonts w:ascii="Verdana" w:hAnsi="Verdana"/>
          <w:b/>
        </w:rPr>
      </w:pPr>
    </w:p>
    <w:p w:rsidR="00284CDF" w:rsidRPr="007413C1" w:rsidRDefault="00284CDF" w:rsidP="00493AE2">
      <w:pPr>
        <w:rPr>
          <w:rFonts w:ascii="Verdana" w:hAnsi="Verdana"/>
          <w:b/>
        </w:rPr>
      </w:pPr>
    </w:p>
    <w:p w:rsidR="00763BCF" w:rsidRPr="007413C1" w:rsidRDefault="00763BCF" w:rsidP="00493AE2">
      <w:pPr>
        <w:rPr>
          <w:rFonts w:ascii="Verdana" w:hAnsi="Verdana"/>
          <w:b/>
        </w:rPr>
      </w:pPr>
    </w:p>
    <w:p w:rsidR="00763BCF" w:rsidRPr="007413C1" w:rsidRDefault="002456E9" w:rsidP="00647059">
      <w:pPr>
        <w:jc w:val="center"/>
        <w:rPr>
          <w:rFonts w:ascii="Verdana" w:hAnsi="Verdana"/>
          <w:b/>
        </w:rPr>
      </w:pPr>
      <w:r w:rsidRPr="007413C1">
        <w:rPr>
          <w:rFonts w:ascii="Verdana" w:hAnsi="Verdana"/>
          <w:b/>
        </w:rPr>
        <w:lastRenderedPageBreak/>
        <w:t>ARBOL DE OBJETIVOS</w:t>
      </w:r>
    </w:p>
    <w:p w:rsidR="00647059" w:rsidRPr="007413C1" w:rsidRDefault="00647059" w:rsidP="00647059">
      <w:pPr>
        <w:jc w:val="center"/>
        <w:rPr>
          <w:rFonts w:ascii="Verdana" w:hAnsi="Verdana"/>
          <w:b/>
        </w:rPr>
      </w:pPr>
      <w:r w:rsidRPr="007413C1">
        <w:rPr>
          <w:rFonts w:ascii="Verdana" w:hAnsi="Verdana"/>
          <w:noProof/>
        </w:rPr>
        <w:drawing>
          <wp:anchor distT="0" distB="0" distL="114300" distR="114300" simplePos="0" relativeHeight="251666432" behindDoc="0" locked="0" layoutInCell="1" allowOverlap="1">
            <wp:simplePos x="0" y="0"/>
            <wp:positionH relativeFrom="column">
              <wp:posOffset>-556260</wp:posOffset>
            </wp:positionH>
            <wp:positionV relativeFrom="paragraph">
              <wp:posOffset>283210</wp:posOffset>
            </wp:positionV>
            <wp:extent cx="6657975" cy="5295900"/>
            <wp:effectExtent l="0" t="0" r="9525" b="0"/>
            <wp:wrapThrough wrapText="bothSides">
              <wp:wrapPolygon edited="0">
                <wp:start x="0" y="0"/>
                <wp:lineTo x="0" y="21522"/>
                <wp:lineTo x="21569" y="21522"/>
                <wp:lineTo x="21569" y="21367"/>
                <wp:lineTo x="18788" y="21134"/>
                <wp:lineTo x="18788" y="19891"/>
                <wp:lineTo x="21569" y="19036"/>
                <wp:lineTo x="21569" y="17715"/>
                <wp:lineTo x="18788" y="17404"/>
                <wp:lineTo x="18788" y="16161"/>
                <wp:lineTo x="21569" y="15151"/>
                <wp:lineTo x="21569" y="14529"/>
                <wp:lineTo x="18788" y="13675"/>
                <wp:lineTo x="21198" y="13519"/>
                <wp:lineTo x="21198" y="13053"/>
                <wp:lineTo x="18788" y="12432"/>
                <wp:lineTo x="21569" y="12043"/>
                <wp:lineTo x="21569" y="11344"/>
                <wp:lineTo x="18788" y="11188"/>
                <wp:lineTo x="21198" y="10412"/>
                <wp:lineTo x="21198" y="9945"/>
                <wp:lineTo x="18788" y="9945"/>
                <wp:lineTo x="21569" y="8935"/>
                <wp:lineTo x="21569" y="8780"/>
                <wp:lineTo x="18788" y="8702"/>
                <wp:lineTo x="21569" y="8158"/>
                <wp:lineTo x="21569" y="8003"/>
                <wp:lineTo x="18788" y="7459"/>
                <wp:lineTo x="20518" y="7459"/>
                <wp:lineTo x="21569" y="6993"/>
                <wp:lineTo x="21569" y="5517"/>
                <wp:lineTo x="18788" y="4973"/>
                <wp:lineTo x="20889" y="4973"/>
                <wp:lineTo x="21569" y="4662"/>
                <wp:lineTo x="21569" y="2875"/>
                <wp:lineTo x="18788" y="2486"/>
                <wp:lineTo x="21569" y="2486"/>
                <wp:lineTo x="21569" y="1476"/>
                <wp:lineTo x="20642" y="1243"/>
                <wp:lineTo x="21569" y="855"/>
                <wp:lineTo x="21569"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7975" cy="529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6E9" w:rsidRPr="007413C1" w:rsidRDefault="002456E9" w:rsidP="00493AE2">
      <w:pPr>
        <w:rPr>
          <w:rFonts w:ascii="Verdana" w:hAnsi="Verdana"/>
          <w:b/>
        </w:rPr>
      </w:pPr>
    </w:p>
    <w:p w:rsidR="00763BCF" w:rsidRPr="007413C1" w:rsidRDefault="00763BCF" w:rsidP="00493AE2">
      <w:pPr>
        <w:rPr>
          <w:rFonts w:ascii="Verdana" w:hAnsi="Verdana"/>
          <w:b/>
        </w:rPr>
      </w:pPr>
    </w:p>
    <w:p w:rsidR="00647059" w:rsidRPr="007413C1" w:rsidRDefault="00647059" w:rsidP="00493AE2">
      <w:pPr>
        <w:rPr>
          <w:rFonts w:ascii="Verdana" w:hAnsi="Verdana"/>
          <w:b/>
        </w:rPr>
      </w:pPr>
    </w:p>
    <w:p w:rsidR="00647059" w:rsidRPr="007413C1" w:rsidRDefault="00647059" w:rsidP="00493AE2">
      <w:pPr>
        <w:rPr>
          <w:rFonts w:ascii="Verdana" w:hAnsi="Verdana"/>
          <w:b/>
        </w:rPr>
      </w:pPr>
    </w:p>
    <w:p w:rsidR="00647059" w:rsidRPr="007413C1" w:rsidRDefault="00647059" w:rsidP="00493AE2">
      <w:pPr>
        <w:rPr>
          <w:rFonts w:ascii="Verdana" w:hAnsi="Verdana"/>
          <w:b/>
        </w:rPr>
      </w:pPr>
    </w:p>
    <w:p w:rsidR="00647059" w:rsidRPr="007413C1" w:rsidRDefault="00647059" w:rsidP="00493AE2">
      <w:pPr>
        <w:rPr>
          <w:rFonts w:ascii="Verdana" w:hAnsi="Verdana"/>
          <w:b/>
        </w:rPr>
      </w:pPr>
    </w:p>
    <w:p w:rsidR="00647059" w:rsidRPr="007413C1" w:rsidRDefault="00647059" w:rsidP="00493AE2">
      <w:pPr>
        <w:rPr>
          <w:rFonts w:ascii="Verdana" w:hAnsi="Verdana"/>
          <w:b/>
        </w:rPr>
      </w:pPr>
    </w:p>
    <w:p w:rsidR="00647059" w:rsidRPr="007413C1" w:rsidRDefault="00647059" w:rsidP="00493AE2">
      <w:pPr>
        <w:rPr>
          <w:rFonts w:ascii="Verdana" w:hAnsi="Verdana"/>
          <w:b/>
        </w:rPr>
      </w:pPr>
    </w:p>
    <w:p w:rsidR="00647059" w:rsidRPr="007413C1" w:rsidRDefault="00647059" w:rsidP="00493AE2">
      <w:pPr>
        <w:rPr>
          <w:rFonts w:ascii="Verdana" w:hAnsi="Verdana"/>
          <w:b/>
        </w:rPr>
      </w:pPr>
    </w:p>
    <w:p w:rsidR="00647059" w:rsidRPr="007413C1" w:rsidRDefault="00647059" w:rsidP="00493AE2">
      <w:pPr>
        <w:rPr>
          <w:rFonts w:ascii="Verdana" w:hAnsi="Verdana"/>
          <w:b/>
        </w:rPr>
      </w:pPr>
    </w:p>
    <w:p w:rsidR="00493AE2" w:rsidRPr="007413C1" w:rsidRDefault="00493AE2" w:rsidP="00493AE2">
      <w:pPr>
        <w:rPr>
          <w:rFonts w:ascii="Verdana" w:hAnsi="Verdana"/>
          <w:b/>
        </w:rPr>
      </w:pPr>
      <w:r w:rsidRPr="007413C1">
        <w:rPr>
          <w:rFonts w:ascii="Verdana" w:hAnsi="Verdana"/>
          <w:b/>
        </w:rPr>
        <w:lastRenderedPageBreak/>
        <w:t>4 Cobertura</w:t>
      </w:r>
    </w:p>
    <w:p w:rsidR="00647059" w:rsidRPr="007413C1" w:rsidRDefault="00647059" w:rsidP="00493AE2">
      <w:pPr>
        <w:rPr>
          <w:rFonts w:ascii="Verdana" w:hAnsi="Verdana"/>
          <w:b/>
        </w:rPr>
      </w:pPr>
    </w:p>
    <w:p w:rsidR="00493AE2" w:rsidRPr="007413C1" w:rsidRDefault="00493AE2" w:rsidP="00493AE2">
      <w:pPr>
        <w:jc w:val="both"/>
        <w:rPr>
          <w:rFonts w:ascii="Verdana" w:hAnsi="Verdana"/>
          <w:b/>
        </w:rPr>
      </w:pPr>
      <w:r w:rsidRPr="007413C1">
        <w:rPr>
          <w:rFonts w:ascii="Verdana" w:hAnsi="Verdana"/>
          <w:b/>
        </w:rPr>
        <w:t xml:space="preserve">4.1. Identificación y caracterización de la población potencial. </w:t>
      </w:r>
    </w:p>
    <w:p w:rsidR="002009B3" w:rsidRPr="007413C1" w:rsidRDefault="008747E0" w:rsidP="00647059">
      <w:pPr>
        <w:spacing w:line="360" w:lineRule="auto"/>
        <w:jc w:val="both"/>
        <w:rPr>
          <w:rFonts w:ascii="Verdana" w:hAnsi="Verdana"/>
        </w:rPr>
      </w:pPr>
      <w:r w:rsidRPr="007413C1">
        <w:rPr>
          <w:rFonts w:ascii="Verdana" w:hAnsi="Verdana"/>
        </w:rPr>
        <w:t>La población potencial</w:t>
      </w:r>
      <w:r w:rsidR="00493AE2" w:rsidRPr="007413C1">
        <w:rPr>
          <w:rFonts w:ascii="Verdana" w:hAnsi="Verdana"/>
        </w:rPr>
        <w:t xml:space="preserve"> identificada p</w:t>
      </w:r>
      <w:r w:rsidR="00D575AF" w:rsidRPr="007413C1">
        <w:rPr>
          <w:rFonts w:ascii="Verdana" w:hAnsi="Verdana"/>
        </w:rPr>
        <w:t xml:space="preserve">ara </w:t>
      </w:r>
      <w:r w:rsidRPr="007413C1">
        <w:rPr>
          <w:rFonts w:ascii="Verdana" w:hAnsi="Verdana"/>
        </w:rPr>
        <w:t xml:space="preserve">la solución del problema detectado en el árbol </w:t>
      </w:r>
      <w:r w:rsidR="00C820E6" w:rsidRPr="007413C1">
        <w:rPr>
          <w:rFonts w:ascii="Verdana" w:hAnsi="Verdana"/>
        </w:rPr>
        <w:t xml:space="preserve">de problemas de la tesorería </w:t>
      </w:r>
      <w:r w:rsidR="00DE6B19" w:rsidRPr="007413C1">
        <w:rPr>
          <w:rFonts w:ascii="Verdana" w:hAnsi="Verdana"/>
        </w:rPr>
        <w:t xml:space="preserve">municipal del municipio de Santa cruz de Juventino Rosas </w:t>
      </w:r>
      <w:r w:rsidRPr="007413C1">
        <w:rPr>
          <w:rFonts w:ascii="Verdana" w:hAnsi="Verdana"/>
        </w:rPr>
        <w:t xml:space="preserve">es el número total de servidores públicos los cuales se verán de alguna forma beneficiados </w:t>
      </w:r>
      <w:r w:rsidR="00F87961" w:rsidRPr="007413C1">
        <w:rPr>
          <w:rFonts w:ascii="Verdana" w:hAnsi="Verdana"/>
        </w:rPr>
        <w:t xml:space="preserve">al contar con información financiera al día y de esta forma podrán </w:t>
      </w:r>
      <w:r w:rsidR="00DE6B19" w:rsidRPr="007413C1">
        <w:rPr>
          <w:rFonts w:ascii="Verdana" w:hAnsi="Verdana"/>
        </w:rPr>
        <w:t>tener alternativas para la toma de decisiones en tiempo y forma.</w:t>
      </w:r>
    </w:p>
    <w:p w:rsidR="00017AB5" w:rsidRPr="007413C1" w:rsidRDefault="00017AB5" w:rsidP="00647059">
      <w:pPr>
        <w:spacing w:line="360" w:lineRule="auto"/>
        <w:jc w:val="both"/>
        <w:rPr>
          <w:rFonts w:ascii="Verdana" w:hAnsi="Verdana"/>
        </w:rPr>
      </w:pPr>
      <w:r w:rsidRPr="007413C1">
        <w:rPr>
          <w:rFonts w:ascii="Verdana" w:hAnsi="Verdana"/>
        </w:rPr>
        <w:t>El total de empleados del área central y de las dependencias descentralizadas son: 760 empleados</w:t>
      </w:r>
      <w:r w:rsidR="00721D7F" w:rsidRPr="007413C1">
        <w:rPr>
          <w:rFonts w:ascii="Verdana" w:hAnsi="Verdana"/>
        </w:rPr>
        <w:t xml:space="preserve"> de los cuales </w:t>
      </w:r>
    </w:p>
    <w:p w:rsidR="00691031" w:rsidRPr="007413C1" w:rsidRDefault="00691031" w:rsidP="00493AE2">
      <w:pPr>
        <w:jc w:val="both"/>
        <w:rPr>
          <w:rFonts w:ascii="Verdana" w:hAnsi="Verdana"/>
        </w:rPr>
      </w:pPr>
    </w:p>
    <w:p w:rsidR="00493AE2" w:rsidRPr="007413C1" w:rsidRDefault="00493AE2" w:rsidP="00493AE2">
      <w:pPr>
        <w:jc w:val="both"/>
        <w:rPr>
          <w:rFonts w:ascii="Verdana" w:hAnsi="Verdana"/>
          <w:b/>
        </w:rPr>
      </w:pPr>
      <w:r w:rsidRPr="007413C1">
        <w:rPr>
          <w:rFonts w:ascii="Verdana" w:hAnsi="Verdana"/>
          <w:b/>
        </w:rPr>
        <w:t xml:space="preserve">4.2. Identificación y caracterización de la población objetivo. </w:t>
      </w:r>
    </w:p>
    <w:p w:rsidR="00017E04" w:rsidRPr="007413C1" w:rsidRDefault="00DE6B19" w:rsidP="00493AE2">
      <w:pPr>
        <w:jc w:val="both"/>
        <w:rPr>
          <w:rFonts w:ascii="Verdana" w:hAnsi="Verdana"/>
        </w:rPr>
      </w:pPr>
      <w:r w:rsidRPr="007413C1">
        <w:rPr>
          <w:rFonts w:ascii="Verdana" w:hAnsi="Verdana"/>
        </w:rPr>
        <w:t xml:space="preserve">La </w:t>
      </w:r>
      <w:r w:rsidR="00493AE2" w:rsidRPr="007413C1">
        <w:rPr>
          <w:rFonts w:ascii="Verdana" w:hAnsi="Verdana"/>
        </w:rPr>
        <w:t>población objetivo</w:t>
      </w:r>
      <w:r w:rsidRPr="007413C1">
        <w:rPr>
          <w:rFonts w:ascii="Verdana" w:hAnsi="Verdana"/>
        </w:rPr>
        <w:t xml:space="preserve"> </w:t>
      </w:r>
      <w:r w:rsidR="00D51B9B" w:rsidRPr="007413C1">
        <w:rPr>
          <w:rFonts w:ascii="Verdana" w:hAnsi="Verdana"/>
        </w:rPr>
        <w:t>para el desarrollo de</w:t>
      </w:r>
      <w:r w:rsidR="00735B54" w:rsidRPr="007413C1">
        <w:rPr>
          <w:rFonts w:ascii="Verdana" w:hAnsi="Verdana"/>
        </w:rPr>
        <w:t xml:space="preserve"> la estrategia para mejorar los procesos</w:t>
      </w:r>
      <w:r w:rsidR="00721D7F" w:rsidRPr="007413C1">
        <w:rPr>
          <w:rFonts w:ascii="Verdana" w:hAnsi="Verdana"/>
        </w:rPr>
        <w:t xml:space="preserve"> en</w:t>
      </w:r>
      <w:r w:rsidR="00735B54" w:rsidRPr="007413C1">
        <w:rPr>
          <w:rFonts w:ascii="Verdana" w:hAnsi="Verdana"/>
        </w:rPr>
        <w:t xml:space="preserve"> la coordinación de cuenta pública </w:t>
      </w:r>
      <w:r w:rsidRPr="007413C1">
        <w:rPr>
          <w:rFonts w:ascii="Verdana" w:hAnsi="Verdana"/>
        </w:rPr>
        <w:t xml:space="preserve">dentro de la administración </w:t>
      </w:r>
      <w:r w:rsidR="001C4116" w:rsidRPr="007413C1">
        <w:rPr>
          <w:rFonts w:ascii="Verdana" w:hAnsi="Verdana"/>
        </w:rPr>
        <w:t>pública</w:t>
      </w:r>
      <w:r w:rsidRPr="007413C1">
        <w:rPr>
          <w:rFonts w:ascii="Verdana" w:hAnsi="Verdana"/>
        </w:rPr>
        <w:t xml:space="preserve"> municipal son </w:t>
      </w:r>
      <w:r w:rsidR="001C4116" w:rsidRPr="007413C1">
        <w:rPr>
          <w:rFonts w:ascii="Verdana" w:hAnsi="Verdana"/>
        </w:rPr>
        <w:t xml:space="preserve">un total de </w:t>
      </w:r>
      <w:r w:rsidR="00721D7F" w:rsidRPr="007413C1">
        <w:rPr>
          <w:rFonts w:ascii="Verdana" w:hAnsi="Verdana"/>
        </w:rPr>
        <w:t>760 de los cuales 506 son operativos y 256 administrativos.</w:t>
      </w:r>
    </w:p>
    <w:p w:rsidR="007533C0" w:rsidRPr="007413C1" w:rsidRDefault="007533C0" w:rsidP="00493AE2">
      <w:pPr>
        <w:jc w:val="both"/>
        <w:rPr>
          <w:rFonts w:ascii="Verdana" w:hAnsi="Verdana"/>
        </w:rPr>
      </w:pPr>
    </w:p>
    <w:p w:rsidR="007533C0" w:rsidRPr="007413C1" w:rsidRDefault="007533C0" w:rsidP="00493AE2">
      <w:pPr>
        <w:jc w:val="both"/>
        <w:rPr>
          <w:rFonts w:ascii="Verdana" w:hAnsi="Verdana"/>
        </w:rPr>
      </w:pPr>
    </w:p>
    <w:p w:rsidR="007533C0" w:rsidRPr="007413C1" w:rsidRDefault="007533C0" w:rsidP="00493AE2">
      <w:pPr>
        <w:jc w:val="both"/>
        <w:rPr>
          <w:rFonts w:ascii="Verdana" w:hAnsi="Verdana"/>
        </w:rPr>
      </w:pPr>
    </w:p>
    <w:p w:rsidR="00493AE2" w:rsidRPr="007413C1" w:rsidRDefault="00493AE2" w:rsidP="00493AE2">
      <w:pPr>
        <w:rPr>
          <w:rFonts w:ascii="Verdana" w:hAnsi="Verdana"/>
          <w:b/>
        </w:rPr>
      </w:pPr>
      <w:r w:rsidRPr="007413C1">
        <w:rPr>
          <w:rFonts w:ascii="Verdana" w:hAnsi="Verdana"/>
          <w:b/>
        </w:rPr>
        <w:t>4.3. Cuantificación de la población objetivo</w:t>
      </w:r>
    </w:p>
    <w:p w:rsidR="00647059" w:rsidRPr="007413C1" w:rsidRDefault="001C4116" w:rsidP="00647059">
      <w:pPr>
        <w:jc w:val="both"/>
        <w:rPr>
          <w:rFonts w:ascii="Verdana" w:hAnsi="Verdana" w:cs="Helvetica"/>
          <w:shd w:val="clear" w:color="auto" w:fill="FFFFFF"/>
        </w:rPr>
      </w:pPr>
      <w:r w:rsidRPr="007413C1">
        <w:rPr>
          <w:rFonts w:ascii="Verdana" w:hAnsi="Verdana"/>
        </w:rPr>
        <w:t xml:space="preserve">La población </w:t>
      </w:r>
      <w:r w:rsidR="00086B9C" w:rsidRPr="007413C1">
        <w:rPr>
          <w:rFonts w:ascii="Verdana" w:hAnsi="Verdana"/>
        </w:rPr>
        <w:t xml:space="preserve">objetivo que está </w:t>
      </w:r>
      <w:r w:rsidR="00721D7F" w:rsidRPr="007413C1">
        <w:rPr>
          <w:rFonts w:ascii="Verdana" w:hAnsi="Verdana" w:cs="Helvetica"/>
          <w:shd w:val="clear" w:color="auto" w:fill="FFFFFF"/>
        </w:rPr>
        <w:t>involucrada que es importante para desarrollar los</w:t>
      </w:r>
      <w:r w:rsidR="00647059" w:rsidRPr="007413C1">
        <w:rPr>
          <w:rFonts w:ascii="Verdana" w:hAnsi="Verdana" w:cs="Helvetica"/>
          <w:shd w:val="clear" w:color="auto" w:fill="FFFFFF"/>
        </w:rPr>
        <w:t xml:space="preserve"> elementos necesarios para mejorar la capacidad de gestió</w:t>
      </w:r>
      <w:r w:rsidR="00A05DF3" w:rsidRPr="007413C1">
        <w:rPr>
          <w:rFonts w:ascii="Verdana" w:hAnsi="Verdana" w:cs="Helvetica"/>
          <w:shd w:val="clear" w:color="auto" w:fill="FFFFFF"/>
        </w:rPr>
        <w:t xml:space="preserve">n de la administración pública dentro del área de la tesorería municipal, </w:t>
      </w:r>
      <w:r w:rsidR="00647059" w:rsidRPr="007413C1">
        <w:rPr>
          <w:rFonts w:ascii="Verdana" w:hAnsi="Verdana" w:cs="Helvetica"/>
          <w:shd w:val="clear" w:color="auto" w:fill="FFFFFF"/>
        </w:rPr>
        <w:t xml:space="preserve">así como para elevar el grado de </w:t>
      </w:r>
      <w:r w:rsidR="00721D7F" w:rsidRPr="007413C1">
        <w:rPr>
          <w:rFonts w:ascii="Verdana" w:hAnsi="Verdana" w:cs="Helvetica"/>
          <w:shd w:val="clear" w:color="auto" w:fill="FFFFFF"/>
        </w:rPr>
        <w:t xml:space="preserve">cumplimiento de contabilidad gubernamental </w:t>
      </w:r>
      <w:r w:rsidR="00A05DF3" w:rsidRPr="007413C1">
        <w:rPr>
          <w:rFonts w:ascii="Verdana" w:hAnsi="Verdana" w:cs="Helvetica"/>
          <w:shd w:val="clear" w:color="auto" w:fill="FFFFFF"/>
        </w:rPr>
        <w:t xml:space="preserve">de la coordinación de cuenta pública </w:t>
      </w:r>
      <w:r w:rsidR="00721D7F" w:rsidRPr="007413C1">
        <w:rPr>
          <w:rFonts w:ascii="Verdana" w:hAnsi="Verdana" w:cs="Helvetica"/>
          <w:shd w:val="clear" w:color="auto" w:fill="FFFFFF"/>
        </w:rPr>
        <w:t>es la siguiente:</w:t>
      </w:r>
    </w:p>
    <w:p w:rsidR="00721D7F" w:rsidRPr="007413C1" w:rsidRDefault="00721D7F" w:rsidP="00647059">
      <w:pPr>
        <w:jc w:val="both"/>
        <w:rPr>
          <w:rFonts w:ascii="Verdana" w:hAnsi="Verdana" w:cs="Helvetica"/>
          <w:shd w:val="clear" w:color="auto" w:fill="FFFFFF"/>
        </w:rPr>
      </w:pPr>
      <w:r w:rsidRPr="007413C1">
        <w:rPr>
          <w:rFonts w:ascii="Verdana" w:hAnsi="Verdana"/>
        </w:rPr>
        <w:t>760 empleados</w:t>
      </w:r>
    </w:p>
    <w:p w:rsidR="00721D7F" w:rsidRPr="007413C1" w:rsidRDefault="00721D7F" w:rsidP="00647059">
      <w:pPr>
        <w:jc w:val="both"/>
        <w:rPr>
          <w:rFonts w:ascii="Verdana" w:hAnsi="Verdana"/>
        </w:rPr>
      </w:pPr>
      <w:r w:rsidRPr="007413C1">
        <w:rPr>
          <w:rFonts w:ascii="Verdana" w:hAnsi="Verdana"/>
        </w:rPr>
        <w:t>506 son operativos</w:t>
      </w:r>
    </w:p>
    <w:p w:rsidR="00721D7F" w:rsidRPr="007413C1" w:rsidRDefault="00721D7F" w:rsidP="00647059">
      <w:pPr>
        <w:jc w:val="both"/>
        <w:rPr>
          <w:rFonts w:ascii="Verdana" w:hAnsi="Verdana"/>
        </w:rPr>
      </w:pPr>
      <w:r w:rsidRPr="007413C1">
        <w:rPr>
          <w:rFonts w:ascii="Verdana" w:hAnsi="Verdana"/>
        </w:rPr>
        <w:t>256 administrativos</w:t>
      </w:r>
    </w:p>
    <w:p w:rsidR="00721D7F" w:rsidRPr="007413C1" w:rsidRDefault="00086B9C" w:rsidP="00647059">
      <w:pPr>
        <w:jc w:val="both"/>
        <w:rPr>
          <w:rFonts w:ascii="Verdana" w:hAnsi="Verdana"/>
        </w:rPr>
      </w:pPr>
      <w:r w:rsidRPr="007413C1">
        <w:rPr>
          <w:rFonts w:ascii="Verdana" w:hAnsi="Verdana"/>
        </w:rPr>
        <w:t xml:space="preserve">La población potencial es el personal administrativo </w:t>
      </w:r>
      <w:r w:rsidR="00A05DF3" w:rsidRPr="007413C1">
        <w:rPr>
          <w:rFonts w:ascii="Verdana" w:hAnsi="Verdana"/>
        </w:rPr>
        <w:t xml:space="preserve">con cargos de directivos, coordinadores y encargados de área </w:t>
      </w:r>
      <w:r w:rsidRPr="007413C1">
        <w:rPr>
          <w:rFonts w:ascii="Verdana" w:hAnsi="Verdana"/>
        </w:rPr>
        <w:t xml:space="preserve">ya que es este tipo de personal </w:t>
      </w:r>
      <w:r w:rsidR="00A05DF3" w:rsidRPr="007413C1">
        <w:rPr>
          <w:rFonts w:ascii="Verdana" w:hAnsi="Verdana"/>
        </w:rPr>
        <w:t>es el que requiere información verídica para la toma de decisiones, es también el personal responsable de entregar y de integrar información a la tesorería municipal para el proceso de integración de cuenta pública</w:t>
      </w:r>
      <w:r w:rsidR="007413C1" w:rsidRPr="007413C1">
        <w:rPr>
          <w:rFonts w:ascii="Verdana" w:hAnsi="Verdana"/>
        </w:rPr>
        <w:t xml:space="preserve"> y estados financieros</w:t>
      </w:r>
    </w:p>
    <w:p w:rsidR="00721D7F" w:rsidRPr="007413C1" w:rsidRDefault="00721D7F" w:rsidP="00647059">
      <w:pPr>
        <w:jc w:val="both"/>
        <w:rPr>
          <w:rFonts w:ascii="Verdana" w:hAnsi="Verdana"/>
        </w:rPr>
      </w:pPr>
    </w:p>
    <w:p w:rsidR="001C4116" w:rsidRPr="007413C1" w:rsidRDefault="001C4116" w:rsidP="00493AE2">
      <w:pPr>
        <w:rPr>
          <w:rFonts w:ascii="Verdana" w:hAnsi="Verdana"/>
        </w:rPr>
      </w:pPr>
    </w:p>
    <w:p w:rsidR="00017E04" w:rsidRPr="007413C1" w:rsidRDefault="00017E04" w:rsidP="00493AE2">
      <w:pPr>
        <w:rPr>
          <w:rFonts w:ascii="Verdana" w:hAnsi="Verdana"/>
          <w:b/>
        </w:rPr>
      </w:pPr>
    </w:p>
    <w:p w:rsidR="00493AE2" w:rsidRPr="007413C1" w:rsidRDefault="00493AE2" w:rsidP="00493AE2">
      <w:pPr>
        <w:jc w:val="both"/>
        <w:rPr>
          <w:rFonts w:ascii="Verdana" w:hAnsi="Verdana"/>
          <w:b/>
        </w:rPr>
      </w:pPr>
      <w:r w:rsidRPr="007413C1">
        <w:rPr>
          <w:rFonts w:ascii="Verdana" w:hAnsi="Verdana"/>
          <w:b/>
        </w:rPr>
        <w:t xml:space="preserve">4.4. Frecuencia de actualización de la población potencial y objetivo. </w:t>
      </w:r>
    </w:p>
    <w:p w:rsidR="001C4116" w:rsidRPr="007413C1" w:rsidRDefault="00A05DF3" w:rsidP="00493AE2">
      <w:pPr>
        <w:jc w:val="both"/>
        <w:rPr>
          <w:rFonts w:ascii="Verdana" w:hAnsi="Verdana"/>
        </w:rPr>
      </w:pPr>
      <w:r w:rsidRPr="007413C1">
        <w:rPr>
          <w:rFonts w:ascii="Verdana" w:hAnsi="Verdana"/>
        </w:rPr>
        <w:t xml:space="preserve">Según la normativa reglamentaria que rige los procedimientos y actividades de la tesorería municipal la frecuencia de actualización de la población objetivo será cada </w:t>
      </w:r>
      <w:r w:rsidR="001C4116" w:rsidRPr="007413C1">
        <w:rPr>
          <w:rFonts w:ascii="Verdana" w:hAnsi="Verdana"/>
        </w:rPr>
        <w:t>cambio de administración</w:t>
      </w:r>
      <w:r w:rsidRPr="007413C1">
        <w:rPr>
          <w:rFonts w:ascii="Verdana" w:hAnsi="Verdana"/>
        </w:rPr>
        <w:t xml:space="preserve"> o en su caso con la remoción del personal administrativo con los cargos de directivos, coordinadores y encargados de área.</w:t>
      </w:r>
    </w:p>
    <w:p w:rsidR="00493AE2" w:rsidRPr="007413C1" w:rsidRDefault="00493AE2" w:rsidP="00493AE2">
      <w:pPr>
        <w:rPr>
          <w:rFonts w:ascii="Verdana" w:hAnsi="Verdana"/>
          <w:b/>
        </w:rPr>
      </w:pPr>
    </w:p>
    <w:p w:rsidR="009448C1" w:rsidRPr="007413C1" w:rsidRDefault="009448C1" w:rsidP="008506AA">
      <w:pPr>
        <w:spacing w:after="0" w:line="360" w:lineRule="auto"/>
        <w:jc w:val="both"/>
        <w:rPr>
          <w:rFonts w:ascii="Verdana" w:hAnsi="Verdana" w:cs="Arial"/>
        </w:rPr>
      </w:pPr>
    </w:p>
    <w:p w:rsidR="003E6616" w:rsidRPr="007413C1" w:rsidRDefault="003E6616" w:rsidP="005F6773">
      <w:pPr>
        <w:spacing w:after="0" w:line="360" w:lineRule="auto"/>
        <w:ind w:left="720"/>
        <w:jc w:val="both"/>
        <w:rPr>
          <w:rFonts w:ascii="Verdana" w:hAnsi="Verdana" w:cs="Arial"/>
        </w:rPr>
      </w:pPr>
    </w:p>
    <w:p w:rsidR="005F6773" w:rsidRPr="007413C1" w:rsidRDefault="005F6773" w:rsidP="005F6773">
      <w:pPr>
        <w:spacing w:after="0" w:line="360" w:lineRule="auto"/>
        <w:ind w:left="720"/>
        <w:jc w:val="both"/>
        <w:rPr>
          <w:rFonts w:ascii="Verdana" w:hAnsi="Verdana" w:cs="Arial"/>
        </w:rPr>
      </w:pPr>
    </w:p>
    <w:p w:rsidR="007B292E" w:rsidRPr="007413C1" w:rsidRDefault="007B292E" w:rsidP="007B292E">
      <w:pPr>
        <w:spacing w:line="360" w:lineRule="auto"/>
        <w:contextualSpacing/>
        <w:rPr>
          <w:rFonts w:ascii="Verdana" w:hAnsi="Verdana" w:cs="Arial"/>
          <w:color w:val="000000"/>
        </w:rPr>
      </w:pPr>
    </w:p>
    <w:p w:rsidR="0058704E" w:rsidRDefault="0058704E"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Default="008D2B0F" w:rsidP="0058704E">
      <w:pPr>
        <w:tabs>
          <w:tab w:val="left" w:pos="0"/>
        </w:tabs>
        <w:spacing w:after="0" w:line="360" w:lineRule="auto"/>
        <w:ind w:right="20"/>
        <w:jc w:val="both"/>
        <w:outlineLvl w:val="0"/>
        <w:rPr>
          <w:rFonts w:ascii="Verdana" w:hAnsi="Verdana" w:cs="Arial"/>
          <w:b/>
        </w:rPr>
      </w:pPr>
    </w:p>
    <w:p w:rsidR="008D2B0F" w:rsidRPr="007413C1" w:rsidRDefault="008D2B0F" w:rsidP="0058704E">
      <w:pPr>
        <w:tabs>
          <w:tab w:val="left" w:pos="0"/>
        </w:tabs>
        <w:spacing w:after="0" w:line="360" w:lineRule="auto"/>
        <w:ind w:right="20"/>
        <w:jc w:val="both"/>
        <w:outlineLvl w:val="0"/>
        <w:rPr>
          <w:rFonts w:ascii="Verdana" w:hAnsi="Verdana" w:cs="Arial"/>
          <w:b/>
        </w:rPr>
      </w:pPr>
    </w:p>
    <w:sectPr w:rsidR="008D2B0F" w:rsidRPr="007413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15:restartNumberingAfterBreak="0">
    <w:nsid w:val="133935FE"/>
    <w:multiLevelType w:val="multilevel"/>
    <w:tmpl w:val="37B0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C3571C"/>
    <w:multiLevelType w:val="hybridMultilevel"/>
    <w:tmpl w:val="1536F9EC"/>
    <w:lvl w:ilvl="0" w:tplc="7DD28316">
      <w:start w:val="1"/>
      <w:numFmt w:val="bullet"/>
      <w:lvlText w:val=""/>
      <w:lvlJc w:val="left"/>
      <w:pPr>
        <w:tabs>
          <w:tab w:val="num" w:pos="720"/>
        </w:tabs>
        <w:ind w:left="720" w:hanging="360"/>
      </w:pPr>
      <w:rPr>
        <w:rFonts w:ascii="Wingdings" w:hAnsi="Wingdings" w:hint="default"/>
      </w:rPr>
    </w:lvl>
    <w:lvl w:ilvl="1" w:tplc="79E6CFE4" w:tentative="1">
      <w:start w:val="1"/>
      <w:numFmt w:val="bullet"/>
      <w:lvlText w:val=""/>
      <w:lvlJc w:val="left"/>
      <w:pPr>
        <w:tabs>
          <w:tab w:val="num" w:pos="1440"/>
        </w:tabs>
        <w:ind w:left="1440" w:hanging="360"/>
      </w:pPr>
      <w:rPr>
        <w:rFonts w:ascii="Wingdings" w:hAnsi="Wingdings" w:hint="default"/>
      </w:rPr>
    </w:lvl>
    <w:lvl w:ilvl="2" w:tplc="0046D330" w:tentative="1">
      <w:start w:val="1"/>
      <w:numFmt w:val="bullet"/>
      <w:lvlText w:val=""/>
      <w:lvlJc w:val="left"/>
      <w:pPr>
        <w:tabs>
          <w:tab w:val="num" w:pos="2160"/>
        </w:tabs>
        <w:ind w:left="2160" w:hanging="360"/>
      </w:pPr>
      <w:rPr>
        <w:rFonts w:ascii="Wingdings" w:hAnsi="Wingdings" w:hint="default"/>
      </w:rPr>
    </w:lvl>
    <w:lvl w:ilvl="3" w:tplc="687E47EC" w:tentative="1">
      <w:start w:val="1"/>
      <w:numFmt w:val="bullet"/>
      <w:lvlText w:val=""/>
      <w:lvlJc w:val="left"/>
      <w:pPr>
        <w:tabs>
          <w:tab w:val="num" w:pos="2880"/>
        </w:tabs>
        <w:ind w:left="2880" w:hanging="360"/>
      </w:pPr>
      <w:rPr>
        <w:rFonts w:ascii="Wingdings" w:hAnsi="Wingdings" w:hint="default"/>
      </w:rPr>
    </w:lvl>
    <w:lvl w:ilvl="4" w:tplc="792C3374" w:tentative="1">
      <w:start w:val="1"/>
      <w:numFmt w:val="bullet"/>
      <w:lvlText w:val=""/>
      <w:lvlJc w:val="left"/>
      <w:pPr>
        <w:tabs>
          <w:tab w:val="num" w:pos="3600"/>
        </w:tabs>
        <w:ind w:left="3600" w:hanging="360"/>
      </w:pPr>
      <w:rPr>
        <w:rFonts w:ascii="Wingdings" w:hAnsi="Wingdings" w:hint="default"/>
      </w:rPr>
    </w:lvl>
    <w:lvl w:ilvl="5" w:tplc="4F90A678" w:tentative="1">
      <w:start w:val="1"/>
      <w:numFmt w:val="bullet"/>
      <w:lvlText w:val=""/>
      <w:lvlJc w:val="left"/>
      <w:pPr>
        <w:tabs>
          <w:tab w:val="num" w:pos="4320"/>
        </w:tabs>
        <w:ind w:left="4320" w:hanging="360"/>
      </w:pPr>
      <w:rPr>
        <w:rFonts w:ascii="Wingdings" w:hAnsi="Wingdings" w:hint="default"/>
      </w:rPr>
    </w:lvl>
    <w:lvl w:ilvl="6" w:tplc="CEF40DDC" w:tentative="1">
      <w:start w:val="1"/>
      <w:numFmt w:val="bullet"/>
      <w:lvlText w:val=""/>
      <w:lvlJc w:val="left"/>
      <w:pPr>
        <w:tabs>
          <w:tab w:val="num" w:pos="5040"/>
        </w:tabs>
        <w:ind w:left="5040" w:hanging="360"/>
      </w:pPr>
      <w:rPr>
        <w:rFonts w:ascii="Wingdings" w:hAnsi="Wingdings" w:hint="default"/>
      </w:rPr>
    </w:lvl>
    <w:lvl w:ilvl="7" w:tplc="F7F4D1F6" w:tentative="1">
      <w:start w:val="1"/>
      <w:numFmt w:val="bullet"/>
      <w:lvlText w:val=""/>
      <w:lvlJc w:val="left"/>
      <w:pPr>
        <w:tabs>
          <w:tab w:val="num" w:pos="5760"/>
        </w:tabs>
        <w:ind w:left="5760" w:hanging="360"/>
      </w:pPr>
      <w:rPr>
        <w:rFonts w:ascii="Wingdings" w:hAnsi="Wingdings" w:hint="default"/>
      </w:rPr>
    </w:lvl>
    <w:lvl w:ilvl="8" w:tplc="82FC9F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9B4FBA"/>
    <w:multiLevelType w:val="hybridMultilevel"/>
    <w:tmpl w:val="4A1C86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0C00B2A"/>
    <w:multiLevelType w:val="multilevel"/>
    <w:tmpl w:val="F836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805252"/>
    <w:multiLevelType w:val="hybridMultilevel"/>
    <w:tmpl w:val="D5965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666215"/>
    <w:multiLevelType w:val="hybridMultilevel"/>
    <w:tmpl w:val="A920C09E"/>
    <w:lvl w:ilvl="0" w:tplc="02780C40">
      <w:start w:val="1"/>
      <w:numFmt w:val="bullet"/>
      <w:lvlText w:val=""/>
      <w:lvlPicBulletId w:val="0"/>
      <w:lvlJc w:val="left"/>
      <w:pPr>
        <w:ind w:left="720" w:hanging="360"/>
      </w:pPr>
      <w:rPr>
        <w:rFonts w:ascii="Symbol" w:hAnsi="Symbol" w:hint="default"/>
        <w:color w:val="auto"/>
        <w:sz w:val="16"/>
        <w:szCs w:val="16"/>
      </w:rPr>
    </w:lvl>
    <w:lvl w:ilvl="1" w:tplc="080A0003">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6086A4B"/>
    <w:multiLevelType w:val="hybridMultilevel"/>
    <w:tmpl w:val="16B0C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5B5B6C"/>
    <w:multiLevelType w:val="multilevel"/>
    <w:tmpl w:val="2CF6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7B232C"/>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B362383"/>
    <w:multiLevelType w:val="hybridMultilevel"/>
    <w:tmpl w:val="334C5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0"/>
  </w:num>
  <w:num w:numId="6">
    <w:abstractNumId w:val="8"/>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CA"/>
    <w:rsid w:val="00007CCF"/>
    <w:rsid w:val="0001007C"/>
    <w:rsid w:val="00011C02"/>
    <w:rsid w:val="00015C21"/>
    <w:rsid w:val="00017AB5"/>
    <w:rsid w:val="00017E04"/>
    <w:rsid w:val="000457C1"/>
    <w:rsid w:val="00071269"/>
    <w:rsid w:val="00083A1E"/>
    <w:rsid w:val="00086B9C"/>
    <w:rsid w:val="0009149B"/>
    <w:rsid w:val="001B7FC7"/>
    <w:rsid w:val="001C1A36"/>
    <w:rsid w:val="001C4116"/>
    <w:rsid w:val="001E647F"/>
    <w:rsid w:val="001F1C46"/>
    <w:rsid w:val="002009B3"/>
    <w:rsid w:val="002456E9"/>
    <w:rsid w:val="00246C29"/>
    <w:rsid w:val="00284CDF"/>
    <w:rsid w:val="00286465"/>
    <w:rsid w:val="002B2CC8"/>
    <w:rsid w:val="00342617"/>
    <w:rsid w:val="00392F43"/>
    <w:rsid w:val="003D2423"/>
    <w:rsid w:val="003D3C8E"/>
    <w:rsid w:val="003D3D05"/>
    <w:rsid w:val="003D605A"/>
    <w:rsid w:val="003E6616"/>
    <w:rsid w:val="004029F9"/>
    <w:rsid w:val="00433955"/>
    <w:rsid w:val="004421C0"/>
    <w:rsid w:val="00444847"/>
    <w:rsid w:val="004451CD"/>
    <w:rsid w:val="00493AE2"/>
    <w:rsid w:val="004B0AF7"/>
    <w:rsid w:val="004D54AC"/>
    <w:rsid w:val="00543654"/>
    <w:rsid w:val="00552933"/>
    <w:rsid w:val="0058704E"/>
    <w:rsid w:val="005D3276"/>
    <w:rsid w:val="005F3645"/>
    <w:rsid w:val="005F6773"/>
    <w:rsid w:val="006135A7"/>
    <w:rsid w:val="00647059"/>
    <w:rsid w:val="00691031"/>
    <w:rsid w:val="007029A0"/>
    <w:rsid w:val="00706BAD"/>
    <w:rsid w:val="00720E27"/>
    <w:rsid w:val="00721D7F"/>
    <w:rsid w:val="00735B54"/>
    <w:rsid w:val="007413C1"/>
    <w:rsid w:val="007533C0"/>
    <w:rsid w:val="00762288"/>
    <w:rsid w:val="00763BCF"/>
    <w:rsid w:val="00777CB5"/>
    <w:rsid w:val="007B292E"/>
    <w:rsid w:val="007D30EC"/>
    <w:rsid w:val="008259BE"/>
    <w:rsid w:val="008506AA"/>
    <w:rsid w:val="008747E0"/>
    <w:rsid w:val="008A5225"/>
    <w:rsid w:val="008C1CC2"/>
    <w:rsid w:val="008D2B0F"/>
    <w:rsid w:val="008D3332"/>
    <w:rsid w:val="00903E64"/>
    <w:rsid w:val="0092649D"/>
    <w:rsid w:val="009448C1"/>
    <w:rsid w:val="009F75D6"/>
    <w:rsid w:val="00A05DF3"/>
    <w:rsid w:val="00A11A4A"/>
    <w:rsid w:val="00A34AAB"/>
    <w:rsid w:val="00A832BD"/>
    <w:rsid w:val="00AE32D9"/>
    <w:rsid w:val="00B03E43"/>
    <w:rsid w:val="00B049A2"/>
    <w:rsid w:val="00B464FF"/>
    <w:rsid w:val="00B644E9"/>
    <w:rsid w:val="00B96476"/>
    <w:rsid w:val="00BC6F84"/>
    <w:rsid w:val="00BF1873"/>
    <w:rsid w:val="00BF6580"/>
    <w:rsid w:val="00C27F13"/>
    <w:rsid w:val="00C36B36"/>
    <w:rsid w:val="00C820E6"/>
    <w:rsid w:val="00D0506E"/>
    <w:rsid w:val="00D25A43"/>
    <w:rsid w:val="00D51B9B"/>
    <w:rsid w:val="00D575AF"/>
    <w:rsid w:val="00D61915"/>
    <w:rsid w:val="00D66A14"/>
    <w:rsid w:val="00D838D4"/>
    <w:rsid w:val="00DA1ACA"/>
    <w:rsid w:val="00DC60EF"/>
    <w:rsid w:val="00DD249A"/>
    <w:rsid w:val="00DD2DEE"/>
    <w:rsid w:val="00DE6B19"/>
    <w:rsid w:val="00E0279A"/>
    <w:rsid w:val="00E13E97"/>
    <w:rsid w:val="00E20885"/>
    <w:rsid w:val="00E41A67"/>
    <w:rsid w:val="00E523F4"/>
    <w:rsid w:val="00E52688"/>
    <w:rsid w:val="00E7680F"/>
    <w:rsid w:val="00E76D10"/>
    <w:rsid w:val="00EC2225"/>
    <w:rsid w:val="00EE6D1D"/>
    <w:rsid w:val="00F53732"/>
    <w:rsid w:val="00F74E88"/>
    <w:rsid w:val="00F81AED"/>
    <w:rsid w:val="00F87961"/>
    <w:rsid w:val="00FC7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35551-7631-4CA8-8C7E-17336316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D5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1ACA"/>
    <w:pPr>
      <w:spacing w:after="0" w:line="240" w:lineRule="auto"/>
      <w:ind w:left="708"/>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96476"/>
    <w:rPr>
      <w:color w:val="0563C1" w:themeColor="hyperlink"/>
      <w:u w:val="single"/>
    </w:rPr>
  </w:style>
  <w:style w:type="character" w:styleId="Textoennegrita">
    <w:name w:val="Strong"/>
    <w:basedOn w:val="Fuentedeprrafopredeter"/>
    <w:uiPriority w:val="22"/>
    <w:qFormat/>
    <w:rsid w:val="000457C1"/>
    <w:rPr>
      <w:b/>
      <w:bCs/>
    </w:rPr>
  </w:style>
  <w:style w:type="paragraph" w:styleId="NormalWeb">
    <w:name w:val="Normal (Web)"/>
    <w:basedOn w:val="Normal"/>
    <w:uiPriority w:val="99"/>
    <w:semiHidden/>
    <w:unhideWhenUsed/>
    <w:rsid w:val="000457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fasis">
    <w:name w:val="enfasis"/>
    <w:basedOn w:val="Fuentedeprrafopredeter"/>
    <w:rsid w:val="000457C1"/>
  </w:style>
  <w:style w:type="character" w:customStyle="1" w:styleId="Ttulo1Car">
    <w:name w:val="Título 1 Car"/>
    <w:basedOn w:val="Fuentedeprrafopredeter"/>
    <w:link w:val="Ttulo1"/>
    <w:uiPriority w:val="9"/>
    <w:rsid w:val="004D54A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4D54AC"/>
    <w:pPr>
      <w:outlineLvl w:val="9"/>
    </w:pPr>
    <w:rPr>
      <w:lang w:eastAsia="es-MX"/>
    </w:rPr>
  </w:style>
  <w:style w:type="paragraph" w:styleId="TDC1">
    <w:name w:val="toc 1"/>
    <w:basedOn w:val="Normal"/>
    <w:next w:val="Normal"/>
    <w:autoRedefine/>
    <w:uiPriority w:val="39"/>
    <w:unhideWhenUsed/>
    <w:rsid w:val="004D54AC"/>
    <w:pPr>
      <w:spacing w:after="100"/>
    </w:pPr>
  </w:style>
  <w:style w:type="paragraph" w:styleId="TDC2">
    <w:name w:val="toc 2"/>
    <w:basedOn w:val="Normal"/>
    <w:next w:val="Normal"/>
    <w:autoRedefine/>
    <w:uiPriority w:val="39"/>
    <w:unhideWhenUsed/>
    <w:rsid w:val="004D54AC"/>
    <w:pPr>
      <w:spacing w:after="100"/>
      <w:ind w:left="220"/>
    </w:pPr>
  </w:style>
  <w:style w:type="paragraph" w:styleId="Textodeglobo">
    <w:name w:val="Balloon Text"/>
    <w:basedOn w:val="Normal"/>
    <w:link w:val="TextodegloboCar"/>
    <w:uiPriority w:val="99"/>
    <w:semiHidden/>
    <w:unhideWhenUsed/>
    <w:rsid w:val="003426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2617"/>
    <w:rPr>
      <w:rFonts w:ascii="Segoe UI" w:hAnsi="Segoe UI" w:cs="Segoe UI"/>
      <w:sz w:val="18"/>
      <w:szCs w:val="18"/>
    </w:rPr>
  </w:style>
  <w:style w:type="paragraph" w:customStyle="1" w:styleId="Listavistosa-nfasis11">
    <w:name w:val="Lista vistosa - Énfasis 11"/>
    <w:basedOn w:val="Normal"/>
    <w:uiPriority w:val="34"/>
    <w:qFormat/>
    <w:rsid w:val="00392F43"/>
    <w:pPr>
      <w:ind w:left="720"/>
      <w:contextualSpacing/>
    </w:pPr>
    <w:rPr>
      <w:rFonts w:ascii="Calibri" w:eastAsia="Calibri" w:hAnsi="Calibri" w:cs="Times New Roman"/>
    </w:rPr>
  </w:style>
  <w:style w:type="paragraph" w:customStyle="1" w:styleId="PRegNormal">
    <w:name w:val="PReg Normal"/>
    <w:basedOn w:val="Normal"/>
    <w:qFormat/>
    <w:rsid w:val="00392F43"/>
    <w:pPr>
      <w:spacing w:before="240" w:after="0" w:line="240" w:lineRule="auto"/>
      <w:jc w:val="both"/>
    </w:pPr>
    <w:rPr>
      <w:rFonts w:ascii="Tahoma" w:eastAsia="Calibri" w:hAnsi="Tahoma" w:cs="Arial"/>
      <w:color w:val="0070C0"/>
      <w:lang w:eastAsia="es-MX"/>
    </w:rPr>
  </w:style>
  <w:style w:type="paragraph" w:styleId="Sinespaciado">
    <w:name w:val="No Spacing"/>
    <w:link w:val="SinespaciadoCar"/>
    <w:uiPriority w:val="1"/>
    <w:qFormat/>
    <w:rsid w:val="00A11A4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11A4A"/>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573">
      <w:bodyDiv w:val="1"/>
      <w:marLeft w:val="0"/>
      <w:marRight w:val="0"/>
      <w:marTop w:val="0"/>
      <w:marBottom w:val="0"/>
      <w:divBdr>
        <w:top w:val="none" w:sz="0" w:space="0" w:color="auto"/>
        <w:left w:val="none" w:sz="0" w:space="0" w:color="auto"/>
        <w:bottom w:val="none" w:sz="0" w:space="0" w:color="auto"/>
        <w:right w:val="none" w:sz="0" w:space="0" w:color="auto"/>
      </w:divBdr>
    </w:div>
    <w:div w:id="45447115">
      <w:bodyDiv w:val="1"/>
      <w:marLeft w:val="0"/>
      <w:marRight w:val="0"/>
      <w:marTop w:val="0"/>
      <w:marBottom w:val="0"/>
      <w:divBdr>
        <w:top w:val="none" w:sz="0" w:space="0" w:color="auto"/>
        <w:left w:val="none" w:sz="0" w:space="0" w:color="auto"/>
        <w:bottom w:val="none" w:sz="0" w:space="0" w:color="auto"/>
        <w:right w:val="none" w:sz="0" w:space="0" w:color="auto"/>
      </w:divBdr>
    </w:div>
    <w:div w:id="163131991">
      <w:bodyDiv w:val="1"/>
      <w:marLeft w:val="0"/>
      <w:marRight w:val="0"/>
      <w:marTop w:val="0"/>
      <w:marBottom w:val="0"/>
      <w:divBdr>
        <w:top w:val="none" w:sz="0" w:space="0" w:color="auto"/>
        <w:left w:val="none" w:sz="0" w:space="0" w:color="auto"/>
        <w:bottom w:val="none" w:sz="0" w:space="0" w:color="auto"/>
        <w:right w:val="none" w:sz="0" w:space="0" w:color="auto"/>
      </w:divBdr>
      <w:divsChild>
        <w:div w:id="1307853968">
          <w:marLeft w:val="0"/>
          <w:marRight w:val="0"/>
          <w:marTop w:val="0"/>
          <w:marBottom w:val="240"/>
          <w:divBdr>
            <w:top w:val="none" w:sz="0" w:space="0" w:color="auto"/>
            <w:left w:val="none" w:sz="0" w:space="0" w:color="auto"/>
            <w:bottom w:val="none" w:sz="0" w:space="0" w:color="auto"/>
            <w:right w:val="none" w:sz="0" w:space="0" w:color="auto"/>
          </w:divBdr>
          <w:divsChild>
            <w:div w:id="232737176">
              <w:marLeft w:val="0"/>
              <w:marRight w:val="0"/>
              <w:marTop w:val="240"/>
              <w:marBottom w:val="240"/>
              <w:divBdr>
                <w:top w:val="none" w:sz="0" w:space="0" w:color="auto"/>
                <w:left w:val="none" w:sz="0" w:space="0" w:color="auto"/>
                <w:bottom w:val="none" w:sz="0" w:space="0" w:color="auto"/>
                <w:right w:val="none" w:sz="0" w:space="0" w:color="auto"/>
              </w:divBdr>
            </w:div>
          </w:divsChild>
        </w:div>
        <w:div w:id="335228001">
          <w:marLeft w:val="0"/>
          <w:marRight w:val="0"/>
          <w:marTop w:val="0"/>
          <w:marBottom w:val="240"/>
          <w:divBdr>
            <w:top w:val="none" w:sz="0" w:space="0" w:color="auto"/>
            <w:left w:val="none" w:sz="0" w:space="0" w:color="auto"/>
            <w:bottom w:val="none" w:sz="0" w:space="0" w:color="auto"/>
            <w:right w:val="none" w:sz="0" w:space="0" w:color="auto"/>
          </w:divBdr>
          <w:divsChild>
            <w:div w:id="16389902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1663864">
      <w:bodyDiv w:val="1"/>
      <w:marLeft w:val="0"/>
      <w:marRight w:val="0"/>
      <w:marTop w:val="0"/>
      <w:marBottom w:val="0"/>
      <w:divBdr>
        <w:top w:val="none" w:sz="0" w:space="0" w:color="auto"/>
        <w:left w:val="none" w:sz="0" w:space="0" w:color="auto"/>
        <w:bottom w:val="none" w:sz="0" w:space="0" w:color="auto"/>
        <w:right w:val="none" w:sz="0" w:space="0" w:color="auto"/>
      </w:divBdr>
    </w:div>
    <w:div w:id="1211502725">
      <w:bodyDiv w:val="1"/>
      <w:marLeft w:val="0"/>
      <w:marRight w:val="0"/>
      <w:marTop w:val="0"/>
      <w:marBottom w:val="0"/>
      <w:divBdr>
        <w:top w:val="none" w:sz="0" w:space="0" w:color="auto"/>
        <w:left w:val="none" w:sz="0" w:space="0" w:color="auto"/>
        <w:bottom w:val="none" w:sz="0" w:space="0" w:color="auto"/>
        <w:right w:val="none" w:sz="0" w:space="0" w:color="auto"/>
      </w:divBdr>
      <w:divsChild>
        <w:div w:id="1025789959">
          <w:marLeft w:val="446"/>
          <w:marRight w:val="0"/>
          <w:marTop w:val="0"/>
          <w:marBottom w:val="0"/>
          <w:divBdr>
            <w:top w:val="none" w:sz="0" w:space="0" w:color="auto"/>
            <w:left w:val="none" w:sz="0" w:space="0" w:color="auto"/>
            <w:bottom w:val="none" w:sz="0" w:space="0" w:color="auto"/>
            <w:right w:val="none" w:sz="0" w:space="0" w:color="auto"/>
          </w:divBdr>
        </w:div>
      </w:divsChild>
    </w:div>
    <w:div w:id="1410270918">
      <w:bodyDiv w:val="1"/>
      <w:marLeft w:val="0"/>
      <w:marRight w:val="0"/>
      <w:marTop w:val="0"/>
      <w:marBottom w:val="0"/>
      <w:divBdr>
        <w:top w:val="none" w:sz="0" w:space="0" w:color="auto"/>
        <w:left w:val="none" w:sz="0" w:space="0" w:color="auto"/>
        <w:bottom w:val="none" w:sz="0" w:space="0" w:color="auto"/>
        <w:right w:val="none" w:sz="0" w:space="0" w:color="auto"/>
      </w:divBdr>
    </w:div>
    <w:div w:id="1768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86853-E1C0-4940-A015-1839536D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3485</Words>
  <Characters>19170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DFINANZAS</dc:creator>
  <cp:keywords/>
  <dc:description/>
  <cp:lastModifiedBy>Tesoreria JR</cp:lastModifiedBy>
  <cp:revision>2</cp:revision>
  <cp:lastPrinted>2017-12-06T18:38:00Z</cp:lastPrinted>
  <dcterms:created xsi:type="dcterms:W3CDTF">2018-02-26T16:22:00Z</dcterms:created>
  <dcterms:modified xsi:type="dcterms:W3CDTF">2018-02-26T16:22:00Z</dcterms:modified>
</cp:coreProperties>
</file>